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hint="default" w:ascii="Arial" w:hAnsi="Arial"/>
          <w:b/>
          <w:bCs/>
          <w:color w:val="000000"/>
          <w:sz w:val="32"/>
          <w:szCs w:val="24"/>
          <w:lang w:val="en-US"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rPr>
        <w:t xml:space="preserve">江苏省新海高级中学教育技术教育装备（生物实验室改造项目）</w:t>
      </w:r>
      <w:r/>
    </w:p>
    <w:p>
      <w:pPr>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项目编号：JSZC-320700-JZCG-G2025-0158</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both"/>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before="120" w:after="120" w:line="360" w:lineRule="auto"/>
        <w:rPr>
          <w:rFonts w:hint="eastAsia" w:ascii="Arial" w:hAnsi="Arial"/>
          <w:b/>
          <w:bCs/>
          <w:color w:val="000000"/>
          <w:sz w:val="32"/>
          <w:szCs w:val="24"/>
          <w:highlight w:val="none"/>
          <w:lang w:val="en-US" w:eastAsia="zh-CN"/>
        </w:rPr>
      </w:pPr>
      <w:r>
        <w:rPr>
          <w:rFonts w:hint="eastAsia" w:ascii="Arial" w:hAnsi="Arial"/>
          <w:b/>
          <w:bCs/>
          <w:color w:val="000000"/>
          <w:sz w:val="32"/>
          <w:szCs w:val="24"/>
          <w:highlight w:val="none"/>
          <w:lang w:val="en-US" w:eastAsia="zh-CN"/>
        </w:rPr>
        <w:t xml:space="preserve">连云港市公共资源交易中心</w:t>
      </w:r>
      <w:r/>
    </w:p>
    <w:p>
      <w:pPr>
        <w:jc w:val="center"/>
        <w:spacing w:before="120" w:after="120" w:line="360" w:lineRule="auto"/>
        <w:rPr>
          <w:rFonts w:hint="eastAsia" w:ascii="黑体" w:hAnsi="黑体" w:eastAsia="黑体" w:cs="黑体"/>
          <w:sz w:val="36"/>
          <w:szCs w:val="36"/>
        </w:rPr>
      </w:pPr>
      <w:r>
        <w:rPr>
          <w:rFonts w:hint="eastAsia" w:ascii="Arial" w:hAnsi="Arial"/>
          <w:b/>
          <w:bCs/>
          <w:color w:val="000000"/>
          <w:sz w:val="32"/>
          <w:szCs w:val="24"/>
        </w:rPr>
        <w:t xml:space="preserve">2025年</w:t>
      </w:r>
      <w:r>
        <w:rPr>
          <w:rFonts w:hint="eastAsia" w:ascii="Arial" w:hAnsi="Arial"/>
          <w:b/>
          <w:bCs/>
          <w:color w:val="000000"/>
          <w:sz w:val="32"/>
          <w:szCs w:val="24"/>
          <w:lang w:val="en-US" w:eastAsia="zh-CN"/>
        </w:rPr>
        <w:t xml:space="preserve">11</w:t>
      </w:r>
      <w:r>
        <w:rPr>
          <w:rFonts w:hint="eastAsia" w:ascii="Arial" w:hAnsi="Arial"/>
          <w:b/>
          <w:bCs/>
          <w:color w:val="000000"/>
          <w:sz w:val="32"/>
          <w:szCs w:val="24"/>
        </w:rPr>
        <w:t xml:space="preserve">月</w:t>
      </w:r>
      <w:r>
        <w:br w:type="page" w:clear="all"/>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TOC \o "1-1" \u </w:instrText>
      </w:r>
      <w:r>
        <w:rPr>
          <w:rFonts w:hint="eastAsia" w:ascii="黑体" w:hAnsi="黑体" w:eastAsia="黑体" w:cs="黑体"/>
          <w:sz w:val="36"/>
          <w:szCs w:val="36"/>
        </w:rPr>
        <w:fldChar w:fldCharType="separate"/>
      </w:r>
      <w:r/>
    </w:p>
    <w:p>
      <w:pPr>
        <w:pStyle w:val="719"/>
        <w:keepLines w:val="0"/>
        <w:keepNext w:val="0"/>
        <w:pageBreakBefore w:val="0"/>
        <w:spacing w:line="240" w:lineRule="auto"/>
        <w:widowControl w:val="off"/>
        <w:rPr>
          <w:rFonts w:hint="eastAsia" w:ascii="黑体" w:hAnsi="黑体" w:eastAsia="黑体" w:cs="黑体"/>
          <w:sz w:val="36"/>
          <w:szCs w:val="36"/>
        </w:rPr>
      </w:pPr>
      <w:r>
        <w:rPr>
          <w:rFonts w:hint="eastAsia" w:ascii="黑体" w:hAnsi="黑体" w:eastAsia="黑体" w:cs="黑体"/>
          <w:sz w:val="36"/>
          <w:szCs w:val="36"/>
        </w:rPr>
        <w:t xml:space="preserve">目  录</w:t>
      </w:r>
      <w:r/>
    </w:p>
    <w:p>
      <w:pPr>
        <w:pStyle w:val="719"/>
        <w:keepLines w:val="0"/>
        <w:keepNext w:val="0"/>
        <w:pageBreakBefore w:val="0"/>
        <w:spacing w:line="360" w:lineRule="auto"/>
        <w:widowControl w:val="off"/>
        <w:rPr>
          <w:rFonts w:hint="eastAsia" w:ascii="黑体" w:hAnsi="黑体" w:eastAsia="黑体" w:cs="黑体"/>
          <w:sz w:val="36"/>
          <w:szCs w:val="36"/>
        </w:rPr>
      </w:pPr>
      <w:r>
        <w:rPr>
          <w:rFonts w:hint="eastAsia" w:ascii="黑体" w:hAnsi="黑体" w:eastAsia="黑体" w:cs="黑体"/>
          <w:sz w:val="36"/>
          <w:szCs w:val="36"/>
        </w:rPr>
        <w:t xml:space="preserve">第一章投标邀请</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_Toc165205794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1</w:t>
      </w:r>
      <w:r>
        <w:rPr>
          <w:rFonts w:hint="eastAsia" w:ascii="黑体" w:hAnsi="黑体" w:eastAsia="黑体" w:cs="黑体"/>
          <w:sz w:val="36"/>
          <w:szCs w:val="36"/>
        </w:rPr>
        <w:fldChar w:fldCharType="end"/>
      </w:r>
      <w:r/>
    </w:p>
    <w:p>
      <w:pPr>
        <w:pStyle w:val="719"/>
        <w:keepLines w:val="0"/>
        <w:keepNext w:val="0"/>
        <w:pageBreakBefore w:val="0"/>
        <w:spacing w:line="360" w:lineRule="auto"/>
        <w:widowControl w:val="off"/>
        <w:rPr>
          <w:rFonts w:hint="eastAsia" w:ascii="黑体" w:hAnsi="黑体" w:eastAsia="黑体" w:cs="黑体"/>
          <w:sz w:val="36"/>
          <w:szCs w:val="36"/>
        </w:rPr>
      </w:pPr>
      <w:r>
        <w:rPr>
          <w:rFonts w:hint="eastAsia" w:ascii="黑体" w:hAnsi="黑体" w:eastAsia="黑体" w:cs="黑体"/>
          <w:sz w:val="36"/>
          <w:szCs w:val="36"/>
        </w:rPr>
        <w:t xml:space="preserve">第二章投标人须知</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_Toc165205795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5</w:t>
      </w:r>
      <w:r>
        <w:rPr>
          <w:rFonts w:hint="eastAsia" w:ascii="黑体" w:hAnsi="黑体" w:eastAsia="黑体" w:cs="黑体"/>
          <w:sz w:val="36"/>
          <w:szCs w:val="36"/>
        </w:rPr>
        <w:fldChar w:fldCharType="end"/>
      </w:r>
      <w:r/>
    </w:p>
    <w:p>
      <w:pPr>
        <w:pStyle w:val="719"/>
        <w:keepLines w:val="0"/>
        <w:keepNext w:val="0"/>
        <w:pageBreakBefore w:val="0"/>
        <w:spacing w:line="360" w:lineRule="auto"/>
        <w:widowControl w:val="off"/>
        <w:rPr>
          <w:rFonts w:hint="eastAsia" w:ascii="黑体" w:hAnsi="黑体" w:eastAsia="黑体" w:cs="黑体"/>
          <w:sz w:val="36"/>
          <w:szCs w:val="36"/>
        </w:rPr>
      </w:pPr>
      <w:r>
        <w:rPr>
          <w:rFonts w:hint="eastAsia" w:ascii="黑体" w:hAnsi="黑体" w:eastAsia="黑体" w:cs="黑体"/>
          <w:sz w:val="36"/>
          <w:szCs w:val="36"/>
        </w:rPr>
        <w:t xml:space="preserve">第三章合同文本</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_Toc165205796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21</w:t>
      </w:r>
      <w:r>
        <w:rPr>
          <w:rFonts w:hint="eastAsia" w:ascii="黑体" w:hAnsi="黑体" w:eastAsia="黑体" w:cs="黑体"/>
          <w:sz w:val="36"/>
          <w:szCs w:val="36"/>
        </w:rPr>
        <w:fldChar w:fldCharType="end"/>
      </w:r>
      <w:r/>
    </w:p>
    <w:p>
      <w:pPr>
        <w:pStyle w:val="719"/>
        <w:keepLines w:val="0"/>
        <w:keepNext w:val="0"/>
        <w:pageBreakBefore w:val="0"/>
        <w:spacing w:line="360" w:lineRule="auto"/>
        <w:widowControl w:val="off"/>
        <w:rPr>
          <w:rFonts w:hint="eastAsia" w:ascii="黑体" w:hAnsi="黑体" w:eastAsia="黑体" w:cs="黑体"/>
          <w:sz w:val="36"/>
          <w:szCs w:val="36"/>
        </w:rPr>
      </w:pPr>
      <w:r>
        <w:rPr>
          <w:rFonts w:hint="eastAsia" w:ascii="黑体" w:hAnsi="黑体" w:eastAsia="黑体" w:cs="黑体"/>
          <w:sz w:val="36"/>
          <w:szCs w:val="36"/>
        </w:rPr>
        <w:t xml:space="preserve">第四章采购需求</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_Toc165205797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37</w:t>
      </w:r>
      <w:r>
        <w:rPr>
          <w:rFonts w:hint="eastAsia" w:ascii="黑体" w:hAnsi="黑体" w:eastAsia="黑体" w:cs="黑体"/>
          <w:sz w:val="36"/>
          <w:szCs w:val="36"/>
        </w:rPr>
        <w:fldChar w:fldCharType="end"/>
      </w:r>
      <w:r/>
    </w:p>
    <w:p>
      <w:pPr>
        <w:pStyle w:val="719"/>
        <w:keepLines w:val="0"/>
        <w:keepNext w:val="0"/>
        <w:pageBreakBefore w:val="0"/>
        <w:spacing w:line="360" w:lineRule="auto"/>
        <w:widowControl w:val="off"/>
        <w:rPr>
          <w:rFonts w:hint="eastAsia" w:ascii="黑体" w:hAnsi="黑体" w:eastAsia="黑体" w:cs="黑体"/>
          <w:sz w:val="36"/>
          <w:szCs w:val="36"/>
        </w:rPr>
      </w:pPr>
      <w:r>
        <w:rPr>
          <w:rFonts w:hint="eastAsia" w:ascii="黑体" w:hAnsi="黑体" w:eastAsia="黑体" w:cs="黑体"/>
          <w:sz w:val="36"/>
          <w:szCs w:val="36"/>
        </w:rPr>
        <w:t xml:space="preserve">第五章评标方法与评标标准</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_Toc165205798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65</w:t>
      </w:r>
      <w:r>
        <w:rPr>
          <w:rFonts w:hint="eastAsia" w:ascii="黑体" w:hAnsi="黑体" w:eastAsia="黑体" w:cs="黑体"/>
          <w:sz w:val="36"/>
          <w:szCs w:val="36"/>
        </w:rPr>
        <w:fldChar w:fldCharType="end"/>
      </w:r>
      <w:r/>
    </w:p>
    <w:p>
      <w:pPr>
        <w:pStyle w:val="719"/>
        <w:keepLines w:val="0"/>
        <w:keepNext w:val="0"/>
        <w:pageBreakBefore w:val="0"/>
        <w:spacing w:line="360" w:lineRule="auto"/>
        <w:widowControl w:val="off"/>
        <w:rPr>
          <w:rFonts w:hint="default" w:ascii="黑体" w:hAnsi="黑体" w:eastAsia="黑体" w:cs="黑体"/>
          <w:sz w:val="36"/>
          <w:szCs w:val="36"/>
          <w:lang w:val="en-US" w:eastAsia="zh-CN"/>
        </w:rPr>
      </w:pPr>
      <w:r>
        <w:rPr>
          <w:rFonts w:hint="eastAsia" w:ascii="黑体" w:hAnsi="黑体" w:eastAsia="黑体" w:cs="黑体"/>
          <w:sz w:val="36"/>
          <w:szCs w:val="36"/>
        </w:rPr>
        <w:t xml:space="preserve">第六章投标文件格式</w:t>
      </w:r>
      <w:r>
        <w:rPr>
          <w:rFonts w:hint="eastAsia" w:ascii="黑体" w:hAnsi="黑体" w:eastAsia="黑体" w:cs="黑体"/>
          <w:sz w:val="36"/>
          <w:szCs w:val="36"/>
        </w:rPr>
        <w:tab/>
      </w:r>
      <w:r>
        <w:rPr>
          <w:rFonts w:hint="eastAsia" w:cs="黑体"/>
          <w:sz w:val="36"/>
          <w:szCs w:val="36"/>
          <w:lang w:val="en-US" w:eastAsia="zh-CN"/>
        </w:rPr>
        <w:t xml:space="preserve">70</w:t>
      </w:r>
      <w:r/>
    </w:p>
    <w:p>
      <w:pPr>
        <w:pStyle w:val="692"/>
        <w:jc w:val="center"/>
        <w:spacing w:before="156" w:after="156" w:line="360" w:lineRule="auto"/>
        <w:rPr>
          <w:rFonts w:hint="eastAsia" w:ascii="黑体" w:hAnsi="黑体" w:eastAsia="黑体" w:cs="黑体"/>
          <w:sz w:val="36"/>
          <w:szCs w:val="36"/>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黑体" w:hAnsi="黑体" w:eastAsia="黑体" w:cs="黑体"/>
          <w:sz w:val="36"/>
          <w:szCs w:val="36"/>
        </w:rPr>
        <w:fldChar w:fldCharType="end"/>
      </w:r>
      <w:bookmarkStart w:id="0" w:name="_Toc165205794"/>
      <w:r/>
      <w:r/>
    </w:p>
    <w:p>
      <w:pPr>
        <w:pStyle w:val="692"/>
        <w:jc w:val="center"/>
        <w:spacing w:before="156" w:after="156" w:line="360" w:lineRule="auto"/>
        <w:rPr>
          <w:rFonts w:ascii="黑体" w:hAnsi="黑体" w:eastAsia="黑体"/>
          <w:lang w:eastAsia="zh-CN"/>
        </w:rPr>
      </w:pPr>
      <w:r>
        <w:rPr>
          <w:rFonts w:hint="eastAsia" w:ascii="黑体" w:hAnsi="黑体" w:eastAsia="黑体"/>
          <w:lang w:eastAsia="zh-CN"/>
        </w:rPr>
        <w:t xml:space="preserve">第一章  投标邀请</w:t>
      </w:r>
      <w:bookmarkEnd w:id="0"/>
      <w:r/>
      <w:r/>
    </w:p>
    <w:p>
      <w:pPr>
        <w:ind w:firstLine="0"/>
        <w:jc w:val="left"/>
        <w:spacing w:line="500" w:lineRule="exact"/>
        <w:rPr>
          <w:sz w:val="24"/>
          <w:szCs w:val="24"/>
          <w:highlight w:val="none"/>
        </w:rPr>
      </w:pPr>
      <w:r>
        <w:rPr>
          <w:rFonts w:hint="eastAsia"/>
          <w:sz w:val="24"/>
          <w:szCs w:val="24"/>
        </w:rPr>
        <w:t xml:space="preserve">    受江苏省新海高级中学的委</w:t>
      </w:r>
      <w:r>
        <w:rPr>
          <w:rFonts w:hint="eastAsia"/>
          <w:sz w:val="24"/>
          <w:szCs w:val="24"/>
          <w:highlight w:val="none"/>
        </w:rPr>
        <w:t xml:space="preserve">托，</w:t>
      </w:r>
      <w:r>
        <w:rPr>
          <w:rFonts w:hint="eastAsia"/>
          <w:sz w:val="24"/>
          <w:szCs w:val="24"/>
          <w:highlight w:val="none"/>
          <w:lang w:val="en-US" w:eastAsia="zh-CN"/>
        </w:rPr>
        <w:t xml:space="preserve">连云港市公共资源交易中心</w:t>
      </w:r>
      <w:r>
        <w:rPr>
          <w:rFonts w:hint="eastAsia"/>
          <w:sz w:val="24"/>
          <w:szCs w:val="24"/>
          <w:highlight w:val="none"/>
        </w:rPr>
        <w:t xml:space="preserve">就江苏省新海高级中学教育技术教育装备（</w:t>
      </w:r>
      <w:r>
        <w:rPr>
          <w:rFonts w:hint="eastAsia"/>
          <w:sz w:val="24"/>
          <w:szCs w:val="24"/>
          <w:highlight w:val="none"/>
          <w:lang w:val="en-US" w:eastAsia="zh-CN"/>
        </w:rPr>
        <w:t xml:space="preserve">生物</w:t>
      </w:r>
      <w:r>
        <w:rPr>
          <w:rFonts w:hint="eastAsia"/>
          <w:sz w:val="24"/>
          <w:szCs w:val="24"/>
          <w:highlight w:val="none"/>
        </w:rPr>
        <w:t xml:space="preserve">实验室改造项目）</w:t>
      </w:r>
      <w:r>
        <w:rPr>
          <w:rFonts w:hint="eastAsia"/>
          <w:sz w:val="24"/>
          <w:szCs w:val="24"/>
          <w:highlight w:val="none"/>
          <w:u w:val="none"/>
          <w:lang w:val="en-US" w:eastAsia="zh-CN"/>
        </w:rPr>
        <w:t xml:space="preserve">（</w:t>
      </w:r>
      <w:r>
        <w:rPr>
          <w:rFonts w:hint="eastAsia"/>
          <w:sz w:val="24"/>
          <w:szCs w:val="24"/>
          <w:highlight w:val="none"/>
          <w:u w:val="none"/>
        </w:rPr>
        <w:t xml:space="preserve">JSZC-320700-JZCG-G2025-0158</w:t>
      </w:r>
      <w:r>
        <w:rPr>
          <w:rFonts w:hint="eastAsia"/>
          <w:sz w:val="24"/>
          <w:szCs w:val="24"/>
          <w:highlight w:val="none"/>
          <w:u w:val="none"/>
          <w:lang w:val="en-US" w:eastAsia="zh-CN"/>
        </w:rPr>
        <w:t xml:space="preserve">）</w:t>
      </w:r>
      <w:r>
        <w:rPr>
          <w:rFonts w:hint="eastAsia"/>
          <w:sz w:val="24"/>
          <w:szCs w:val="24"/>
          <w:highlight w:val="none"/>
        </w:rPr>
        <w:t xml:space="preserve">进行公开招标采购，欢迎符合条件的供应商投标。</w:t>
      </w:r>
      <w:r/>
    </w:p>
    <w:tbl>
      <w:tblPr>
        <w:tblStyle w:val="70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highlight w:val="none"/>
              </w:rPr>
            </w:pPr>
            <w:r>
              <w:rPr>
                <w:rFonts w:hint="eastAsia"/>
                <w:sz w:val="24"/>
                <w:szCs w:val="24"/>
                <w:highlight w:val="none"/>
              </w:rPr>
              <w:t xml:space="preserve">项目概况</w:t>
            </w:r>
            <w:r/>
          </w:p>
          <w:p>
            <w:pPr>
              <w:jc w:val="left"/>
              <w:spacing w:line="500" w:lineRule="exact"/>
              <w:rPr>
                <w:sz w:val="24"/>
                <w:szCs w:val="24"/>
                <w:highlight w:val="none"/>
              </w:rPr>
            </w:pPr>
            <w:r>
              <w:rPr>
                <w:rFonts w:hint="eastAsia"/>
                <w:sz w:val="24"/>
                <w:szCs w:val="24"/>
                <w:highlight w:val="none"/>
              </w:rPr>
              <w:t xml:space="preserve">江苏省新海高级中学教育技术教育装备（生物实验室改造项目）项目的潜在投标人应在江苏政府采购网自行免费下载招标文件，并于2025年</w:t>
            </w:r>
            <w:r>
              <w:rPr>
                <w:rFonts w:hint="eastAsia"/>
                <w:sz w:val="24"/>
                <w:szCs w:val="24"/>
                <w:highlight w:val="none"/>
                <w:lang w:val="en-US" w:eastAsia="zh-CN"/>
              </w:rPr>
              <w:t xml:space="preserve">12</w:t>
            </w:r>
            <w:r>
              <w:rPr>
                <w:rFonts w:hint="eastAsia"/>
                <w:sz w:val="24"/>
                <w:szCs w:val="24"/>
                <w:highlight w:val="none"/>
              </w:rPr>
              <w:t xml:space="preserve">月10</w:t>
            </w:r>
            <w:r>
              <w:rPr>
                <w:rFonts w:hint="eastAsia"/>
                <w:sz w:val="24"/>
                <w:szCs w:val="24"/>
                <w:highlight w:val="none"/>
              </w:rPr>
              <w:t xml:space="preserve">日</w:t>
            </w:r>
            <w:r>
              <w:rPr>
                <w:rFonts w:hint="eastAsia"/>
                <w:sz w:val="24"/>
                <w:szCs w:val="24"/>
                <w:highlight w:val="none"/>
              </w:rPr>
              <w:t xml:space="preserve">10:</w:t>
            </w:r>
            <w:r>
              <w:rPr>
                <w:rFonts w:hint="eastAsia"/>
                <w:sz w:val="24"/>
                <w:szCs w:val="24"/>
                <w:highlight w:val="none"/>
              </w:rPr>
              <w:t xml:space="preserve">30:00（北京时间）前递交（上传）投标文件。</w:t>
            </w:r>
            <w:r/>
          </w:p>
        </w:tc>
      </w:tr>
    </w:tbl>
    <w:p>
      <w:pPr>
        <w:pStyle w:val="693"/>
        <w:spacing w:before="0" w:after="0" w:line="360" w:lineRule="auto"/>
        <w:rPr>
          <w:rFonts w:ascii="黑体" w:hAnsi="黑体" w:eastAsia="黑体"/>
          <w:b w:val="0"/>
          <w:lang w:eastAsia="zh-CN"/>
        </w:rPr>
      </w:pPr>
      <w:r>
        <w:rPr>
          <w:rFonts w:hint="eastAsia" w:ascii="黑体" w:hAnsi="黑体" w:eastAsia="黑体"/>
          <w:b w:val="0"/>
          <w:lang w:eastAsia="zh-CN"/>
        </w:rPr>
        <w:t xml:space="preserve">一、项目基本情况</w:t>
      </w:r>
      <w:r/>
    </w:p>
    <w:p>
      <w:pPr>
        <w:ind w:firstLine="480"/>
        <w:jc w:val="left"/>
        <w:spacing w:line="500" w:lineRule="exact"/>
        <w:rPr>
          <w:rFonts w:hint="default" w:eastAsia="宋体"/>
          <w:sz w:val="24"/>
          <w:szCs w:val="24"/>
          <w:highlight w:val="yellow"/>
          <w:lang w:val="en-US" w:eastAsia="zh-CN"/>
        </w:rPr>
      </w:pPr>
      <w:r>
        <w:rPr>
          <w:rFonts w:hint="eastAsia"/>
          <w:sz w:val="24"/>
          <w:szCs w:val="24"/>
        </w:rPr>
        <w:t xml:space="preserve">项目编号：JSZC-320700-JZCG-G2025-0158</w:t>
      </w:r>
      <w:r/>
    </w:p>
    <w:p>
      <w:pPr>
        <w:ind w:firstLine="480"/>
        <w:jc w:val="left"/>
        <w:spacing w:line="240" w:lineRule="auto"/>
        <w:rPr>
          <w:rFonts w:hint="eastAsia"/>
          <w:sz w:val="24"/>
          <w:szCs w:val="24"/>
          <w:lang w:val="en-US" w:eastAsia="zh-CN"/>
        </w:rPr>
      </w:pPr>
      <w:r>
        <w:rPr>
          <w:rFonts w:hint="eastAsia"/>
          <w:sz w:val="24"/>
          <w:szCs w:val="24"/>
        </w:rPr>
        <w:t xml:space="preserve">项目名称：江苏省新海高级中学教育技术教育装备（</w:t>
      </w:r>
      <w:r>
        <w:rPr>
          <w:rFonts w:hint="eastAsia"/>
          <w:sz w:val="24"/>
          <w:szCs w:val="24"/>
          <w:lang w:val="en-US" w:eastAsia="zh-CN"/>
        </w:rPr>
        <w:t xml:space="preserve">生物</w:t>
      </w:r>
      <w:r>
        <w:rPr>
          <w:rFonts w:hint="eastAsia"/>
          <w:sz w:val="24"/>
          <w:szCs w:val="24"/>
        </w:rPr>
        <w:t xml:space="preserve">实验室改造项目）</w:t>
      </w:r>
      <w:r/>
    </w:p>
    <w:p>
      <w:pPr>
        <w:ind w:firstLine="480"/>
        <w:jc w:val="left"/>
        <w:spacing w:line="500" w:lineRule="exact"/>
        <w:rPr>
          <w:sz w:val="24"/>
          <w:szCs w:val="24"/>
        </w:rPr>
      </w:pPr>
      <w:r>
        <w:rPr>
          <w:rFonts w:hint="eastAsia"/>
          <w:sz w:val="24"/>
          <w:szCs w:val="24"/>
        </w:rPr>
        <w:t xml:space="preserve">预算金额：</w:t>
      </w:r>
      <w:r>
        <w:rPr>
          <w:rFonts w:hint="eastAsia"/>
          <w:sz w:val="24"/>
          <w:szCs w:val="24"/>
          <w:lang w:val="en-US" w:eastAsia="zh-CN"/>
        </w:rPr>
        <w:t xml:space="preserve">40</w:t>
      </w:r>
      <w:r>
        <w:rPr>
          <w:rFonts w:hint="eastAsia"/>
          <w:sz w:val="24"/>
          <w:szCs w:val="24"/>
        </w:rPr>
        <w:t xml:space="preserve">万元</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w:t>
      </w:r>
      <w:r>
        <w:rPr>
          <w:rFonts w:hint="eastAsia"/>
          <w:sz w:val="24"/>
          <w:szCs w:val="24"/>
        </w:rPr>
        <w:t xml:space="preserve">本项目</w:t>
      </w:r>
      <w:r>
        <w:rPr>
          <w:rFonts w:hint="eastAsia"/>
          <w:sz w:val="24"/>
          <w:szCs w:val="24"/>
        </w:rPr>
        <w:t xml:space="preserve">采购</w:t>
      </w:r>
      <w:r>
        <w:rPr>
          <w:rFonts w:hint="eastAsia" w:ascii="Times New Roman" w:hAnsi="Times New Roman"/>
          <w:sz w:val="24"/>
          <w:szCs w:val="24"/>
        </w:rPr>
        <w:t xml:space="preserve">包括但不限于学生实验桌、教师演示台、学生凳子、</w:t>
      </w:r>
      <w:r>
        <w:rPr>
          <w:rFonts w:hint="eastAsia" w:ascii="Times New Roman" w:hAnsi="Times New Roman"/>
          <w:sz w:val="24"/>
          <w:szCs w:val="24"/>
          <w:lang w:val="en-US" w:eastAsia="zh-CN"/>
        </w:rPr>
        <w:t xml:space="preserve">智慧仪器</w:t>
      </w:r>
      <w:r>
        <w:rPr>
          <w:rFonts w:hint="eastAsia" w:ascii="Times New Roman" w:hAnsi="Times New Roman"/>
          <w:sz w:val="24"/>
          <w:szCs w:val="24"/>
        </w:rPr>
        <w:t xml:space="preserve">、</w:t>
      </w:r>
      <w:r>
        <w:rPr>
          <w:rFonts w:hint="eastAsia" w:ascii="Times New Roman" w:hAnsi="Times New Roman"/>
          <w:sz w:val="24"/>
          <w:szCs w:val="24"/>
          <w:lang w:val="en-US" w:eastAsia="zh-CN"/>
        </w:rPr>
        <w:t xml:space="preserve">生物仪器柜</w:t>
      </w:r>
      <w:r>
        <w:rPr>
          <w:rFonts w:hint="eastAsia" w:ascii="Times New Roman" w:hAnsi="Times New Roman"/>
          <w:sz w:val="24"/>
          <w:szCs w:val="24"/>
        </w:rPr>
        <w:t xml:space="preserve">等货物的供货、运输、安装、调试等。</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sz w:val="24"/>
          <w:szCs w:val="24"/>
          <w:highlight w:val="none"/>
          <w:lang w:val="en-US" w:eastAsia="zh-CN"/>
        </w:rPr>
      </w:pPr>
      <w:r>
        <w:rPr>
          <w:rFonts w:hint="eastAsia"/>
          <w:sz w:val="24"/>
          <w:szCs w:val="24"/>
        </w:rPr>
        <w:t xml:space="preserve">合同履行期限：</w:t>
      </w:r>
      <w:r>
        <w:rPr>
          <w:rFonts w:hint="eastAsia" w:ascii="宋体" w:hAnsi="宋体"/>
          <w:sz w:val="24"/>
          <w:szCs w:val="24"/>
        </w:rPr>
        <w:t xml:space="preserve">合同签订后</w:t>
      </w:r>
      <w:r>
        <w:rPr>
          <w:rFonts w:hint="eastAsia" w:ascii="宋体" w:hAnsi="宋体"/>
          <w:sz w:val="24"/>
          <w:szCs w:val="24"/>
          <w:lang w:val="en-US" w:eastAsia="zh-CN"/>
        </w:rPr>
        <w:t xml:space="preserve">40</w:t>
      </w:r>
      <w:r>
        <w:rPr>
          <w:rFonts w:hint="eastAsia" w:ascii="宋体" w:hAnsi="宋体"/>
          <w:sz w:val="24"/>
          <w:szCs w:val="24"/>
        </w:rPr>
        <w:t xml:space="preserve">天内完成安装调试，达到交付条件。</w:t>
      </w:r>
      <w:r/>
    </w:p>
    <w:p>
      <w:pPr>
        <w:ind w:firstLine="480"/>
        <w:jc w:val="left"/>
        <w:spacing w:line="500" w:lineRule="exact"/>
        <w:rPr>
          <w:rFonts w:hint="default" w:eastAsia="宋体"/>
          <w:sz w:val="24"/>
          <w:szCs w:val="24"/>
          <w:highlight w:val="none"/>
          <w:lang w:val="en-US" w:eastAsia="zh-CN"/>
        </w:rPr>
      </w:pPr>
      <w:r>
        <w:rPr>
          <w:rFonts w:hint="eastAsia"/>
          <w:sz w:val="24"/>
          <w:szCs w:val="24"/>
          <w:highlight w:val="none"/>
          <w:lang w:val="en-US" w:eastAsia="zh-CN"/>
        </w:rPr>
        <w:t xml:space="preserve">本项目</w:t>
      </w:r>
      <w:r>
        <w:rPr>
          <w:rFonts w:hint="eastAsia"/>
          <w:sz w:val="24"/>
          <w:szCs w:val="24"/>
          <w:highlight w:val="none"/>
        </w:rPr>
        <w:t xml:space="preserve">（是/否）接受</w:t>
      </w:r>
      <w:r>
        <w:rPr>
          <w:rFonts w:hint="eastAsia"/>
          <w:sz w:val="24"/>
          <w:szCs w:val="24"/>
          <w:highlight w:val="none"/>
          <w:lang w:val="en-US" w:eastAsia="zh-CN"/>
        </w:rPr>
        <w:t xml:space="preserve">进口产品</w:t>
      </w:r>
      <w:r>
        <w:rPr>
          <w:rFonts w:hint="eastAsia"/>
          <w:sz w:val="24"/>
          <w:szCs w:val="24"/>
          <w:highlight w:val="none"/>
        </w:rPr>
        <w:t xml:space="preserve">投标</w:t>
      </w:r>
      <w:r>
        <w:rPr>
          <w:rFonts w:hint="eastAsia"/>
          <w:sz w:val="24"/>
          <w:szCs w:val="24"/>
          <w:highlight w:val="none"/>
          <w:lang w:eastAsia="zh-CN"/>
        </w:rPr>
        <w:t xml:space="preserve">：</w:t>
      </w:r>
      <w:r>
        <w:rPr>
          <w:rFonts w:hint="eastAsia"/>
          <w:sz w:val="24"/>
          <w:szCs w:val="24"/>
          <w:highlight w:val="none"/>
          <w:lang w:val="en-US" w:eastAsia="zh-CN"/>
        </w:rPr>
        <w:t xml:space="preserve">不接受进口产品投标。</w:t>
      </w:r>
      <w:r/>
    </w:p>
    <w:p>
      <w:pPr>
        <w:ind w:firstLine="480"/>
        <w:jc w:val="left"/>
        <w:pageBreakBefore w:val="0"/>
        <w:spacing w:line="500" w:lineRule="exact"/>
        <w:widowControl w:val="off"/>
        <w:rPr>
          <w:rFonts w:hint="eastAsia"/>
          <w:sz w:val="24"/>
          <w:szCs w:val="24"/>
          <w:highlight w:val="none"/>
          <w:lang w:val="en-US" w:eastAsia="zh-CN"/>
        </w:rPr>
      </w:pPr>
      <w:r>
        <w:rPr>
          <w:rFonts w:hint="eastAsia"/>
          <w:sz w:val="24"/>
          <w:szCs w:val="24"/>
          <w:highlight w:val="none"/>
          <w:lang w:val="en-US" w:eastAsia="zh-CN"/>
        </w:rPr>
        <w:t xml:space="preserve">项目（是/否）接受联合体投标：不接受联合体。</w:t>
      </w:r>
      <w:r/>
    </w:p>
    <w:p>
      <w:pPr>
        <w:pStyle w:val="693"/>
        <w:pageBreakBefore w:val="0"/>
        <w:spacing w:before="0" w:after="0" w:line="500" w:lineRule="exact"/>
        <w:widowControl w:val="off"/>
        <w:rPr>
          <w:rFonts w:ascii="黑体" w:hAnsi="黑体" w:eastAsia="黑体"/>
          <w:b w:val="0"/>
          <w:lang w:eastAsia="zh-CN"/>
        </w:rPr>
      </w:pPr>
      <w:r>
        <w:rPr>
          <w:rFonts w:hint="eastAsia" w:ascii="黑体" w:hAnsi="黑体" w:eastAsia="黑体"/>
          <w:b w:val="0"/>
          <w:lang w:eastAsia="zh-CN"/>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w:t>
      </w:r>
      <w:r>
        <w:rPr>
          <w:rFonts w:hint="eastAsia"/>
          <w:sz w:val="24"/>
          <w:szCs w:val="24"/>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（二）落实政府采购政策需满足的资格要求：无。</w:t>
      </w:r>
      <w:r/>
    </w:p>
    <w:p>
      <w:pPr>
        <w:ind w:firstLine="480"/>
        <w:jc w:val="left"/>
        <w:spacing w:line="500" w:lineRule="exact"/>
        <w:rPr>
          <w:sz w:val="24"/>
          <w:szCs w:val="24"/>
          <w:highlight w:val="yellow"/>
        </w:rPr>
      </w:pPr>
      <w:r>
        <w:rPr>
          <w:rFonts w:hint="eastAsia"/>
          <w:sz w:val="24"/>
          <w:szCs w:val="24"/>
        </w:rPr>
        <w:t xml:space="preserve">（三）本项目的特定资格要求：无。</w:t>
      </w:r>
      <w:r/>
    </w:p>
    <w:p>
      <w:pPr>
        <w:pStyle w:val="693"/>
        <w:spacing w:before="0" w:after="0" w:line="360" w:lineRule="auto"/>
        <w:rPr>
          <w:rFonts w:ascii="黑体" w:hAnsi="黑体" w:eastAsia="黑体"/>
          <w:b w:val="0"/>
          <w:lang w:eastAsia="zh-CN"/>
        </w:rPr>
      </w:pPr>
      <w:r>
        <w:rPr>
          <w:rFonts w:hint="eastAsia" w:ascii="黑体" w:hAnsi="黑体" w:eastAsia="黑体"/>
          <w:b w:val="0"/>
          <w:lang w:eastAsia="zh-CN"/>
        </w:rPr>
        <w:t xml:space="preserve">三、获取招标文件</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时间：自招标公告发布之日起至2025年</w:t>
      </w:r>
      <w:r>
        <w:rPr>
          <w:rFonts w:hint="eastAsia" w:ascii="宋体" w:hAnsi="宋体"/>
          <w:sz w:val="24"/>
          <w:szCs w:val="24"/>
          <w:highlight w:val="none"/>
          <w:lang w:val="en-US" w:eastAsia="zh-CN"/>
        </w:rPr>
        <w:t xml:space="preserve">11</w:t>
      </w:r>
      <w:r>
        <w:rPr>
          <w:rFonts w:hint="eastAsia" w:ascii="宋体" w:hAnsi="宋体"/>
          <w:sz w:val="24"/>
          <w:szCs w:val="24"/>
          <w:highlight w:val="none"/>
        </w:rPr>
        <w:t xml:space="preserve">月25</w:t>
      </w:r>
      <w:r>
        <w:rPr>
          <w:rFonts w:hint="eastAsia" w:ascii="宋体" w:hAnsi="宋体"/>
          <w:sz w:val="24"/>
          <w:szCs w:val="24"/>
          <w:highlight w:val="none"/>
        </w:rPr>
        <w:t xml:space="preserve">日</w:t>
      </w:r>
      <w:r>
        <w:rPr>
          <w:rFonts w:hint="eastAsia"/>
          <w:sz w:val="24"/>
          <w:szCs w:val="24"/>
          <w:highlight w:val="none"/>
        </w:rPr>
        <w:t xml:space="preserve">（北京时间）</w:t>
      </w:r>
      <w:r/>
    </w:p>
    <w:p>
      <w:pPr>
        <w:ind w:firstLine="480"/>
        <w:jc w:val="left"/>
        <w:spacing w:line="500" w:lineRule="exact"/>
        <w:rPr>
          <w:sz w:val="24"/>
          <w:szCs w:val="24"/>
          <w:highlight w:val="none"/>
        </w:rPr>
      </w:pPr>
      <w:r>
        <w:rPr>
          <w:rFonts w:hint="eastAsia"/>
          <w:sz w:val="24"/>
          <w:szCs w:val="24"/>
          <w:highlight w:val="none"/>
        </w:rPr>
        <w:t xml:space="preserve">地点：江苏政府采购网</w:t>
      </w:r>
      <w:r/>
    </w:p>
    <w:p>
      <w:pPr>
        <w:ind w:firstLine="480"/>
        <w:jc w:val="left"/>
        <w:spacing w:line="500" w:lineRule="exact"/>
        <w:rPr>
          <w:sz w:val="24"/>
          <w:szCs w:val="24"/>
          <w:highlight w:val="none"/>
        </w:rPr>
      </w:pPr>
      <w:r>
        <w:rPr>
          <w:rFonts w:hint="eastAsia"/>
          <w:sz w:val="24"/>
          <w:szCs w:val="24"/>
          <w:highlight w:val="none"/>
        </w:rPr>
        <w:t xml:space="preserve">方式：投标人办理江苏省政府采购交易系统CA数字证书，登录“苏采云”政府采购交易系统，自行下载。</w:t>
      </w:r>
      <w:r/>
    </w:p>
    <w:p>
      <w:pPr>
        <w:ind w:firstLine="480"/>
        <w:jc w:val="left"/>
        <w:spacing w:line="500" w:lineRule="exact"/>
        <w:rPr>
          <w:sz w:val="24"/>
          <w:szCs w:val="24"/>
          <w:highlight w:val="none"/>
        </w:rPr>
      </w:pPr>
      <w:r>
        <w:rPr>
          <w:rFonts w:hint="eastAsia"/>
          <w:sz w:val="24"/>
          <w:szCs w:val="24"/>
          <w:highlight w:val="none"/>
        </w:rPr>
        <w:t xml:space="preserve">售价：0.00元</w:t>
      </w:r>
      <w:r/>
    </w:p>
    <w:p>
      <w:pPr>
        <w:pStyle w:val="693"/>
        <w:spacing w:before="0" w:after="0" w:line="360" w:lineRule="auto"/>
        <w:rPr>
          <w:rFonts w:ascii="黑体" w:hAnsi="黑体" w:eastAsia="黑体"/>
          <w:b w:val="0"/>
          <w:highlight w:val="none"/>
          <w:lang w:eastAsia="zh-CN"/>
        </w:rPr>
      </w:pPr>
      <w:r>
        <w:rPr>
          <w:rFonts w:hint="eastAsia" w:ascii="黑体" w:hAnsi="黑体" w:eastAsia="黑体"/>
          <w:b w:val="0"/>
          <w:highlight w:val="none"/>
          <w:lang w:eastAsia="zh-CN"/>
        </w:rPr>
        <w:t xml:space="preserve">四、提交投标文件截止时间、开标时间和地点</w:t>
      </w:r>
      <w:r/>
    </w:p>
    <w:p>
      <w:pPr>
        <w:ind w:firstLine="480"/>
        <w:jc w:val="left"/>
        <w:spacing w:line="500" w:lineRule="exact"/>
        <w:rPr>
          <w:sz w:val="24"/>
          <w:szCs w:val="24"/>
        </w:rPr>
      </w:pPr>
      <w:r>
        <w:rPr>
          <w:rFonts w:hint="eastAsia"/>
          <w:sz w:val="24"/>
          <w:szCs w:val="24"/>
          <w:highlight w:val="none"/>
        </w:rPr>
        <w:t xml:space="preserve">提交投标文件截止时间：2025年</w:t>
      </w:r>
      <w:r>
        <w:rPr>
          <w:rFonts w:hint="eastAsia"/>
          <w:sz w:val="24"/>
          <w:szCs w:val="24"/>
          <w:highlight w:val="none"/>
          <w:lang w:val="en-US" w:eastAsia="zh-CN"/>
        </w:rPr>
        <w:t xml:space="preserve">12</w:t>
      </w:r>
      <w:r>
        <w:rPr>
          <w:rFonts w:hint="eastAsia"/>
          <w:sz w:val="24"/>
          <w:szCs w:val="24"/>
          <w:highlight w:val="none"/>
        </w:rPr>
        <w:t xml:space="preserve">月10</w:t>
      </w:r>
      <w:r>
        <w:rPr>
          <w:rFonts w:hint="eastAsia"/>
          <w:sz w:val="24"/>
          <w:szCs w:val="24"/>
          <w:highlight w:val="none"/>
        </w:rPr>
        <w:t xml:space="preserve">日10:30:00（北京时间</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693"/>
        <w:spacing w:before="0" w:after="0" w:line="360" w:lineRule="auto"/>
        <w:rPr>
          <w:rFonts w:ascii="黑体" w:hAnsi="黑体" w:eastAsia="黑体"/>
          <w:b w:val="0"/>
          <w:lang w:eastAsia="zh-CN"/>
        </w:rPr>
      </w:pPr>
      <w:r>
        <w:rPr>
          <w:rFonts w:hint="eastAsia" w:ascii="黑体" w:hAnsi="黑体" w:eastAsia="黑体"/>
          <w:b w:val="0"/>
          <w:lang w:eastAsia="zh-CN"/>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693"/>
        <w:spacing w:before="0" w:after="0" w:line="360" w:lineRule="auto"/>
        <w:rPr>
          <w:rFonts w:ascii="黑体" w:hAnsi="黑体" w:eastAsia="黑体"/>
          <w:b w:val="0"/>
          <w:lang w:eastAsia="zh-CN"/>
        </w:rPr>
      </w:pPr>
      <w:r>
        <w:rPr>
          <w:rFonts w:hint="eastAsia" w:ascii="黑体" w:hAnsi="黑体" w:eastAsia="黑体"/>
          <w:b w:val="0"/>
          <w:lang w:eastAsia="zh-CN"/>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93"/>
        <w:spacing w:before="0" w:after="0" w:line="360" w:lineRule="auto"/>
        <w:rPr>
          <w:rFonts w:ascii="黑体" w:hAnsi="黑体" w:eastAsia="黑体"/>
          <w:b w:val="0"/>
          <w:lang w:eastAsia="zh-CN"/>
        </w:rPr>
      </w:pPr>
      <w:r>
        <w:rPr>
          <w:rFonts w:hint="eastAsia" w:ascii="黑体" w:hAnsi="黑体" w:eastAsia="黑体"/>
          <w:b w:val="0"/>
          <w:lang w:eastAsia="zh-CN"/>
        </w:rPr>
        <w:t xml:space="preserve">七、对本次招标提出询问，请按以下方式联系</w:t>
      </w:r>
      <w:r/>
    </w:p>
    <w:p>
      <w:pPr>
        <w:ind w:firstLine="480"/>
        <w:jc w:val="left"/>
        <w:spacing w:line="500" w:lineRule="exact"/>
        <w:rPr>
          <w:sz w:val="24"/>
          <w:szCs w:val="24"/>
        </w:rPr>
      </w:pPr>
      <w:r>
        <w:rPr>
          <w:sz w:val="24"/>
          <w:szCs w:val="24"/>
        </w:rPr>
        <w:t xml:space="preserve">1.</w:t>
      </w:r>
      <w:r>
        <w:rPr>
          <w:rFonts w:hint="eastAsia"/>
          <w:sz w:val="24"/>
          <w:szCs w:val="24"/>
        </w:rPr>
        <w:t xml:space="preserve">采购人信息</w:t>
      </w:r>
      <w:r/>
    </w:p>
    <w:p>
      <w:pPr>
        <w:ind w:firstLine="480"/>
        <w:jc w:val="left"/>
        <w:spacing w:line="500" w:lineRule="exact"/>
        <w:rPr>
          <w:rFonts w:hint="default" w:eastAsia="宋体"/>
          <w:sz w:val="24"/>
          <w:szCs w:val="24"/>
          <w:lang w:val="en-US" w:eastAsia="zh-CN"/>
        </w:rPr>
      </w:pPr>
      <w:r>
        <w:rPr>
          <w:rFonts w:hint="eastAsia"/>
          <w:sz w:val="24"/>
          <w:szCs w:val="24"/>
        </w:rPr>
        <w:t xml:space="preserve">名</w:t>
      </w:r>
      <w:r>
        <w:rPr>
          <w:rFonts w:hint="eastAsia"/>
          <w:sz w:val="24"/>
          <w:szCs w:val="24"/>
          <w:lang w:val="en-US" w:eastAsia="zh-CN"/>
        </w:rPr>
        <w:t xml:space="preserve">    </w:t>
      </w:r>
      <w:r>
        <w:rPr>
          <w:rFonts w:hint="eastAsia"/>
          <w:sz w:val="24"/>
          <w:szCs w:val="24"/>
        </w:rPr>
        <w:t xml:space="preserve">称：</w:t>
      </w:r>
      <w:r>
        <w:rPr>
          <w:rFonts w:hint="eastAsia"/>
          <w:sz w:val="24"/>
          <w:szCs w:val="24"/>
          <w:lang w:val="en-US" w:eastAsia="zh-CN"/>
        </w:rPr>
        <w:t xml:space="preserve">江苏省新海高级中学</w:t>
      </w:r>
      <w:r/>
    </w:p>
    <w:p>
      <w:pPr>
        <w:ind w:firstLine="480"/>
        <w:jc w:val="left"/>
        <w:spacing w:line="500" w:lineRule="exact"/>
        <w:rPr>
          <w:rFonts w:hint="eastAsia"/>
          <w:sz w:val="24"/>
          <w:szCs w:val="24"/>
        </w:rPr>
      </w:pPr>
      <w:r>
        <w:rPr>
          <w:rFonts w:hint="eastAsia"/>
          <w:sz w:val="24"/>
          <w:szCs w:val="24"/>
        </w:rPr>
        <w:t xml:space="preserve">地</w:t>
      </w:r>
      <w:r>
        <w:rPr>
          <w:rFonts w:hint="eastAsia"/>
          <w:sz w:val="24"/>
          <w:szCs w:val="24"/>
          <w:lang w:val="en-US" w:eastAsia="zh-CN"/>
        </w:rPr>
        <w:t xml:space="preserve">    </w:t>
      </w:r>
      <w:r>
        <w:rPr>
          <w:rFonts w:hint="eastAsia"/>
          <w:sz w:val="24"/>
          <w:szCs w:val="24"/>
        </w:rPr>
        <w:t xml:space="preserve">址：连云港市海州区苍梧路58号</w:t>
      </w:r>
      <w:r/>
    </w:p>
    <w:p>
      <w:pPr>
        <w:ind w:firstLine="480"/>
        <w:jc w:val="left"/>
        <w:spacing w:line="500" w:lineRule="exact"/>
        <w:rPr>
          <w:rFonts w:hint="default" w:eastAsia="宋体"/>
          <w:sz w:val="24"/>
          <w:szCs w:val="24"/>
          <w:highlight w:val="none"/>
          <w:lang w:val="en-US" w:eastAsia="zh-CN"/>
        </w:rPr>
      </w:pPr>
      <w:r>
        <w:rPr>
          <w:rFonts w:hint="eastAsia"/>
          <w:sz w:val="24"/>
          <w:szCs w:val="24"/>
          <w:highlight w:val="none"/>
        </w:rPr>
        <w:t xml:space="preserve">联</w:t>
      </w:r>
      <w:r>
        <w:rPr>
          <w:rFonts w:hint="eastAsia"/>
          <w:sz w:val="24"/>
          <w:szCs w:val="24"/>
          <w:highlight w:val="none"/>
          <w:lang w:val="en-US" w:eastAsia="zh-CN"/>
        </w:rPr>
        <w:t xml:space="preserve"> </w:t>
      </w:r>
      <w:r>
        <w:rPr>
          <w:rFonts w:hint="eastAsia"/>
          <w:sz w:val="24"/>
          <w:szCs w:val="24"/>
          <w:highlight w:val="none"/>
        </w:rPr>
        <w:t xml:space="preserve">系</w:t>
      </w:r>
      <w:r>
        <w:rPr>
          <w:rFonts w:hint="eastAsia"/>
          <w:sz w:val="24"/>
          <w:szCs w:val="24"/>
          <w:highlight w:val="none"/>
          <w:lang w:val="en-US" w:eastAsia="zh-CN"/>
        </w:rPr>
        <w:t xml:space="preserve"> </w:t>
      </w:r>
      <w:r>
        <w:rPr>
          <w:rFonts w:hint="eastAsia"/>
          <w:sz w:val="24"/>
          <w:szCs w:val="24"/>
          <w:highlight w:val="none"/>
        </w:rPr>
        <w:t xml:space="preserve">人：</w:t>
      </w:r>
      <w:r>
        <w:rPr>
          <w:rFonts w:hint="eastAsia"/>
          <w:sz w:val="24"/>
          <w:szCs w:val="24"/>
          <w:highlight w:val="none"/>
          <w:lang w:val="en-US" w:eastAsia="zh-CN"/>
        </w:rPr>
        <w:t xml:space="preserve">唐老师</w:t>
      </w:r>
      <w:r/>
    </w:p>
    <w:p>
      <w:pPr>
        <w:ind w:firstLine="480"/>
        <w:jc w:val="left"/>
        <w:spacing w:line="500" w:lineRule="exact"/>
        <w:rPr>
          <w:rFonts w:hint="default" w:ascii="宋体" w:hAnsi="宋体" w:eastAsia="宋体"/>
          <w:sz w:val="24"/>
          <w:szCs w:val="24"/>
          <w:highlight w:val="none"/>
          <w:lang w:val="en-US" w:eastAsia="zh-CN"/>
        </w:rPr>
      </w:pPr>
      <w:r>
        <w:rPr>
          <w:rFonts w:hint="eastAsia"/>
          <w:sz w:val="24"/>
          <w:szCs w:val="24"/>
          <w:highlight w:val="none"/>
        </w:rPr>
        <w:t xml:space="preserve">联系</w:t>
      </w:r>
      <w:r>
        <w:rPr>
          <w:rFonts w:hint="eastAsia" w:ascii="宋体" w:hAnsi="宋体"/>
          <w:sz w:val="24"/>
          <w:szCs w:val="24"/>
          <w:highlight w:val="none"/>
        </w:rPr>
        <w:t xml:space="preserve">电话：</w:t>
      </w:r>
      <w:r>
        <w:rPr>
          <w:rFonts w:ascii="SimSun" w:hAnsi="SimSun" w:eastAsia="SimSun" w:cs="SimSun"/>
          <w:color w:val="000000"/>
          <w:sz w:val="24"/>
        </w:rPr>
        <w:t xml:space="preserve">18961386285</w:t>
      </w:r>
      <w:r>
        <w:rPr>
          <w:rFonts w:hint="eastAsia" w:ascii="宋体" w:hAnsi="宋体"/>
          <w:sz w:val="24"/>
          <w:szCs w:val="24"/>
          <w:highlight w:val="none"/>
          <w:lang w:val="en-US" w:eastAsia="zh-CN"/>
        </w:rPr>
      </w:r>
      <w:r/>
    </w:p>
    <w:p>
      <w:pPr>
        <w:ind w:firstLine="480"/>
        <w:jc w:val="left"/>
        <w:spacing w:line="500" w:lineRule="exact"/>
        <w:rPr>
          <w:sz w:val="24"/>
          <w:szCs w:val="24"/>
          <w:highlight w:val="none"/>
        </w:rPr>
      </w:pPr>
      <w:r>
        <w:rPr>
          <w:rFonts w:hint="eastAsia"/>
          <w:sz w:val="24"/>
          <w:szCs w:val="24"/>
          <w:highlight w:val="none"/>
        </w:rPr>
        <w:t xml:space="preserve">2.采购代理机构信息</w:t>
      </w:r>
      <w:r/>
    </w:p>
    <w:p>
      <w:pPr>
        <w:ind w:firstLine="480"/>
        <w:jc w:val="left"/>
        <w:spacing w:line="500" w:lineRule="exact"/>
        <w:rPr>
          <w:sz w:val="24"/>
          <w:szCs w:val="24"/>
          <w:highlight w:val="none"/>
        </w:rPr>
      </w:pPr>
      <w:r>
        <w:rPr>
          <w:rFonts w:hint="eastAsia"/>
          <w:sz w:val="24"/>
          <w:szCs w:val="24"/>
          <w:highlight w:val="none"/>
        </w:rPr>
        <w:t xml:space="preserve">名</w:t>
      </w:r>
      <w:r>
        <w:rPr>
          <w:rFonts w:hint="eastAsia"/>
          <w:sz w:val="24"/>
          <w:szCs w:val="24"/>
          <w:highlight w:val="none"/>
          <w:lang w:val="en-US" w:eastAsia="zh-CN"/>
        </w:rPr>
        <w:t xml:space="preserve">    </w:t>
      </w:r>
      <w:r>
        <w:rPr>
          <w:rFonts w:hint="eastAsia"/>
          <w:sz w:val="24"/>
          <w:szCs w:val="24"/>
          <w:highlight w:val="none"/>
        </w:rPr>
        <w:t xml:space="preserve">称：连云港市公共资源交易中心</w:t>
      </w:r>
      <w:r/>
    </w:p>
    <w:p>
      <w:pPr>
        <w:ind w:firstLine="480"/>
        <w:jc w:val="left"/>
        <w:spacing w:line="500" w:lineRule="exact"/>
        <w:rPr>
          <w:sz w:val="24"/>
          <w:szCs w:val="24"/>
          <w:highlight w:val="none"/>
        </w:rPr>
      </w:pPr>
      <w:r>
        <w:rPr>
          <w:rFonts w:hint="eastAsia"/>
          <w:sz w:val="24"/>
          <w:szCs w:val="24"/>
          <w:highlight w:val="none"/>
        </w:rPr>
        <w:t xml:space="preserve">地</w:t>
      </w:r>
      <w:r>
        <w:rPr>
          <w:rFonts w:hint="eastAsia"/>
          <w:sz w:val="24"/>
          <w:szCs w:val="24"/>
          <w:highlight w:val="none"/>
          <w:lang w:val="en-US" w:eastAsia="zh-CN"/>
        </w:rPr>
        <w:t xml:space="preserve">    </w:t>
      </w:r>
      <w:r>
        <w:rPr>
          <w:rFonts w:hint="eastAsia"/>
          <w:sz w:val="24"/>
          <w:szCs w:val="24"/>
          <w:highlight w:val="none"/>
        </w:rPr>
        <w:t xml:space="preserve">址：连云港市海州区凌洲东路9号2号楼4</w:t>
      </w:r>
      <w:r>
        <w:rPr>
          <w:rFonts w:hint="eastAsia"/>
          <w:sz w:val="24"/>
          <w:szCs w:val="24"/>
          <w:highlight w:val="none"/>
          <w:lang w:val="en-US" w:eastAsia="zh-CN"/>
        </w:rPr>
        <w:t xml:space="preserve">19</w:t>
      </w:r>
      <w:r>
        <w:rPr>
          <w:rFonts w:hint="eastAsia"/>
          <w:sz w:val="24"/>
          <w:szCs w:val="24"/>
          <w:highlight w:val="none"/>
        </w:rPr>
        <w:t xml:space="preserve">室</w:t>
      </w:r>
      <w:r/>
    </w:p>
    <w:p>
      <w:pPr>
        <w:ind w:firstLine="480"/>
        <w:jc w:val="left"/>
        <w:spacing w:line="500" w:lineRule="exact"/>
        <w:rPr>
          <w:sz w:val="24"/>
          <w:szCs w:val="24"/>
          <w:highlight w:val="none"/>
        </w:rPr>
      </w:pPr>
      <w:r>
        <w:rPr>
          <w:rFonts w:hint="eastAsia"/>
          <w:sz w:val="24"/>
          <w:szCs w:val="24"/>
          <w:highlight w:val="none"/>
        </w:rPr>
        <w:t xml:space="preserve">联</w:t>
      </w:r>
      <w:r>
        <w:rPr>
          <w:rFonts w:hint="eastAsia"/>
          <w:sz w:val="24"/>
          <w:szCs w:val="24"/>
          <w:highlight w:val="none"/>
          <w:lang w:val="en-US" w:eastAsia="zh-CN"/>
        </w:rPr>
        <w:t xml:space="preserve"> </w:t>
      </w:r>
      <w:r>
        <w:rPr>
          <w:rFonts w:hint="eastAsia"/>
          <w:sz w:val="24"/>
          <w:szCs w:val="24"/>
          <w:highlight w:val="none"/>
        </w:rPr>
        <w:t xml:space="preserve">系</w:t>
      </w:r>
      <w:r>
        <w:rPr>
          <w:rFonts w:hint="eastAsia"/>
          <w:sz w:val="24"/>
          <w:szCs w:val="24"/>
          <w:highlight w:val="none"/>
          <w:lang w:val="en-US" w:eastAsia="zh-CN"/>
        </w:rPr>
        <w:t xml:space="preserve"> </w:t>
      </w:r>
      <w:r>
        <w:rPr>
          <w:rFonts w:hint="eastAsia"/>
          <w:sz w:val="24"/>
          <w:szCs w:val="24"/>
          <w:highlight w:val="none"/>
        </w:rPr>
        <w:t xml:space="preserve">人：</w:t>
      </w:r>
      <w:r>
        <w:rPr>
          <w:rFonts w:hint="eastAsia"/>
          <w:sz w:val="24"/>
          <w:szCs w:val="24"/>
          <w:highlight w:val="none"/>
          <w:lang w:val="en-US" w:eastAsia="zh-CN"/>
        </w:rPr>
        <w:t xml:space="preserve">朱工</w:t>
      </w:r>
      <w:r/>
    </w:p>
    <w:p>
      <w:pPr>
        <w:ind w:firstLine="480"/>
        <w:jc w:val="left"/>
        <w:spacing w:line="500" w:lineRule="exact"/>
        <w:rPr>
          <w:rFonts w:hint="eastAsia" w:ascii="宋体" w:hAnsi="宋体"/>
          <w:sz w:val="24"/>
          <w:szCs w:val="24"/>
          <w:highlight w:val="none"/>
        </w:rPr>
      </w:pPr>
      <w:r>
        <w:rPr>
          <w:rFonts w:hint="eastAsia"/>
          <w:sz w:val="24"/>
          <w:szCs w:val="24"/>
          <w:highlight w:val="none"/>
        </w:rPr>
        <w:t xml:space="preserve">联系</w:t>
      </w:r>
      <w:r>
        <w:rPr>
          <w:rFonts w:hint="eastAsia" w:ascii="宋体" w:hAnsi="宋体"/>
          <w:sz w:val="24"/>
          <w:szCs w:val="24"/>
          <w:highlight w:val="none"/>
        </w:rPr>
        <w:t xml:space="preserve">电话：</w:t>
      </w:r>
      <w:r>
        <w:rPr>
          <w:rFonts w:hint="eastAsia"/>
          <w:sz w:val="24"/>
          <w:szCs w:val="24"/>
          <w:highlight w:val="none"/>
          <w:lang w:val="en-US" w:eastAsia="zh-CN"/>
        </w:rPr>
        <w:t xml:space="preserve">0518-85868206</w:t>
      </w:r>
      <w:r/>
    </w:p>
    <w:p>
      <w:pPr>
        <w:ind w:firstLine="480"/>
        <w:jc w:val="left"/>
        <w:spacing w:line="500" w:lineRule="exact"/>
        <w:rPr>
          <w:sz w:val="24"/>
          <w:szCs w:val="24"/>
          <w:highlight w:val="none"/>
        </w:rPr>
      </w:pPr>
      <w:r>
        <w:rPr>
          <w:sz w:val="24"/>
          <w:szCs w:val="24"/>
          <w:highlight w:val="none"/>
        </w:rPr>
        <w:t xml:space="preserve">3.</w:t>
      </w:r>
      <w:r>
        <w:rPr>
          <w:rFonts w:hint="eastAsia"/>
          <w:sz w:val="24"/>
          <w:szCs w:val="24"/>
          <w:highlight w:val="none"/>
        </w:rPr>
        <w:t xml:space="preserve">项目联系方式</w:t>
      </w:r>
      <w:r/>
    </w:p>
    <w:p>
      <w:pPr>
        <w:ind w:firstLine="480"/>
        <w:jc w:val="left"/>
        <w:spacing w:line="500" w:lineRule="exact"/>
        <w:rPr>
          <w:sz w:val="24"/>
          <w:szCs w:val="24"/>
          <w:highlight w:val="none"/>
        </w:rPr>
      </w:pPr>
      <w:r>
        <w:rPr>
          <w:rFonts w:hint="eastAsia"/>
          <w:sz w:val="24"/>
          <w:szCs w:val="24"/>
          <w:highlight w:val="none"/>
        </w:rPr>
        <w:t xml:space="preserve">项目联系人：</w:t>
      </w:r>
      <w:r>
        <w:rPr>
          <w:rFonts w:hint="eastAsia"/>
          <w:sz w:val="24"/>
          <w:szCs w:val="24"/>
          <w:highlight w:val="none"/>
        </w:rPr>
        <w:t xml:space="preserve">朱工</w:t>
      </w:r>
      <w:r/>
    </w:p>
    <w:p>
      <w:pPr>
        <w:ind w:firstLine="480"/>
        <w:jc w:val="left"/>
        <w:spacing w:line="500" w:lineRule="exact"/>
        <w:rPr>
          <w:sz w:val="24"/>
          <w:szCs w:val="24"/>
          <w:highlight w:val="none"/>
        </w:rPr>
      </w:pPr>
      <w:r>
        <w:rPr>
          <w:rFonts w:hint="eastAsia"/>
          <w:sz w:val="24"/>
          <w:szCs w:val="24"/>
          <w:highlight w:val="none"/>
        </w:rPr>
        <w:t xml:space="preserve">电</w:t>
      </w:r>
      <w:r>
        <w:rPr>
          <w:rFonts w:hint="eastAsia"/>
          <w:sz w:val="24"/>
          <w:szCs w:val="24"/>
          <w:highlight w:val="none"/>
          <w:lang w:val="en-US" w:eastAsia="zh-CN"/>
        </w:rPr>
        <w:t xml:space="preserve">      </w:t>
      </w:r>
      <w:r>
        <w:rPr>
          <w:rFonts w:hint="eastAsia"/>
          <w:sz w:val="24"/>
          <w:szCs w:val="24"/>
          <w:highlight w:val="none"/>
        </w:rPr>
        <w:t xml:space="preserve">话：0518-85868206</w:t>
      </w:r>
      <w:r/>
    </w:p>
    <w:p>
      <w:pPr>
        <w:jc w:val="left"/>
        <w:widowControl/>
        <w:rPr>
          <w:rFonts w:ascii="黑体" w:hAnsi="黑体" w:eastAsia="黑体"/>
          <w:bCs/>
          <w:sz w:val="44"/>
          <w:szCs w:val="44"/>
        </w:rPr>
      </w:pPr>
      <w:r>
        <w:rPr>
          <w:rFonts w:ascii="黑体" w:hAnsi="黑体" w:eastAsia="黑体"/>
          <w:b/>
        </w:rPr>
        <w:br w:type="page" w:clear="all"/>
      </w:r>
      <w:r/>
    </w:p>
    <w:p>
      <w:pPr>
        <w:pStyle w:val="692"/>
        <w:jc w:val="center"/>
        <w:spacing w:before="156" w:after="156" w:line="360" w:lineRule="auto"/>
        <w:rPr>
          <w:rFonts w:ascii="黑体" w:hAnsi="黑体" w:eastAsia="黑体"/>
          <w:lang w:eastAsia="zh-CN"/>
        </w:rPr>
      </w:pPr>
      <w:r/>
      <w:bookmarkStart w:id="1" w:name="_Toc165205795"/>
      <w:r>
        <w:rPr>
          <w:rFonts w:hint="eastAsia" w:ascii="黑体" w:hAnsi="黑体" w:eastAsia="黑体"/>
          <w:lang w:eastAsia="zh-CN"/>
        </w:rPr>
        <w:t xml:space="preserve">第二章  投标人须知</w:t>
      </w:r>
      <w:bookmarkEnd w:id="1"/>
      <w:r/>
      <w:r/>
    </w:p>
    <w:p>
      <w:pPr>
        <w:pStyle w:val="693"/>
        <w:pageBreakBefore w:val="0"/>
        <w:spacing w:before="0" w:after="0" w:line="360" w:lineRule="auto"/>
        <w:widowControl w:val="off"/>
        <w:rPr>
          <w:rFonts w:ascii="黑体" w:hAnsi="黑体" w:eastAsia="黑体"/>
          <w:b w:val="0"/>
          <w:lang w:eastAsia="zh-CN"/>
        </w:rPr>
      </w:pPr>
      <w:r>
        <w:rPr>
          <w:rFonts w:hint="eastAsia" w:ascii="黑体" w:hAnsi="黑体" w:eastAsia="黑体"/>
          <w:b w:val="0"/>
          <w:lang w:eastAsia="zh-CN"/>
        </w:rPr>
        <w:t xml:space="preserve">一、总则</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1、采购方式</w:t>
      </w:r>
      <w:r/>
    </w:p>
    <w:p>
      <w:pPr>
        <w:ind w:firstLine="480"/>
        <w:jc w:val="left"/>
        <w:pageBreakBefore w:val="0"/>
        <w:spacing w:line="360" w:lineRule="auto"/>
        <w:widowControl w:val="off"/>
        <w:rPr>
          <w:sz w:val="24"/>
          <w:szCs w:val="24"/>
        </w:rPr>
      </w:pPr>
      <w:r>
        <w:rPr>
          <w:rFonts w:hint="eastAsia"/>
          <w:sz w:val="24"/>
          <w:szCs w:val="24"/>
        </w:rPr>
        <w:t xml:space="preserve">1.1 本次招标采取公开招标方式，本招标文件仅适用于招标公告中所述项目。</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2、合格的投标人</w:t>
      </w:r>
      <w:r/>
    </w:p>
    <w:p>
      <w:pPr>
        <w:ind w:firstLine="480"/>
        <w:jc w:val="left"/>
        <w:pageBreakBefore w:val="0"/>
        <w:spacing w:line="360" w:lineRule="auto"/>
        <w:widowControl w:val="off"/>
        <w:rPr>
          <w:sz w:val="24"/>
          <w:szCs w:val="24"/>
        </w:rPr>
      </w:pPr>
      <w:r>
        <w:rPr>
          <w:rFonts w:hint="eastAsia"/>
          <w:sz w:val="24"/>
          <w:szCs w:val="24"/>
        </w:rPr>
        <w:t xml:space="preserve">2.1 满足招标公告中申请人的资格要求的规定。</w:t>
      </w:r>
      <w:r/>
    </w:p>
    <w:p>
      <w:pPr>
        <w:ind w:firstLine="480"/>
        <w:jc w:val="left"/>
        <w:pageBreakBefore w:val="0"/>
        <w:spacing w:line="360" w:lineRule="auto"/>
        <w:widowControl w:val="off"/>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widowControl w:val="off"/>
        <w:rPr>
          <w:sz w:val="24"/>
          <w:szCs w:val="24"/>
        </w:rPr>
      </w:pPr>
      <w:r>
        <w:rPr>
          <w:rFonts w:hint="eastAsia"/>
          <w:sz w:val="24"/>
          <w:szCs w:val="24"/>
        </w:rPr>
        <w:t xml:space="preserve">2.3 满足本招标文件全部实质性要求和条件的规定。</w:t>
      </w:r>
      <w:r/>
    </w:p>
    <w:p>
      <w:pPr>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pPr>
      <w:r>
        <w:rPr>
          <w:rFonts w:hint="eastAsia"/>
          <w:sz w:val="24"/>
          <w:szCs w:val="24"/>
        </w:rPr>
        <w:t xml:space="preserve">2.5单位负责人为同一人或者存在直接控股、管理关系的不同供应商，不得参加同一合同项下的政府采购活动。</w:t>
      </w:r>
      <w:r/>
    </w:p>
    <w:p>
      <w:pPr>
        <w:ind w:firstLine="480"/>
        <w:jc w:val="left"/>
        <w:pageBreakBefore w:val="0"/>
        <w:spacing w:line="360" w:lineRule="auto"/>
        <w:widowControl w:val="off"/>
        <w:rPr>
          <w:sz w:val="24"/>
          <w:szCs w:val="24"/>
        </w:rPr>
      </w:pPr>
      <w:r>
        <w:rPr>
          <w:sz w:val="24"/>
          <w:szCs w:val="24"/>
        </w:rPr>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3、适用法律</w:t>
      </w:r>
      <w:r/>
    </w:p>
    <w:p>
      <w:pPr>
        <w:ind w:firstLine="480"/>
        <w:jc w:val="left"/>
        <w:pageBreakBefore w:val="0"/>
        <w:spacing w:line="360" w:lineRule="auto"/>
        <w:widowControl w:val="off"/>
        <w:rPr>
          <w:sz w:val="24"/>
          <w:szCs w:val="24"/>
        </w:rPr>
      </w:pPr>
      <w:r>
        <w:rPr>
          <w:rFonts w:hint="eastAsia"/>
          <w:sz w:val="24"/>
          <w:szCs w:val="24"/>
        </w:rPr>
        <w:t xml:space="preserve">3.1 本次招标及由此产生的合同受中华人民共和国有关的法律法规制约和保护。</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4、投标费用</w:t>
      </w:r>
      <w:r/>
    </w:p>
    <w:p>
      <w:pPr>
        <w:ind w:firstLine="480"/>
        <w:jc w:val="left"/>
        <w:pageBreakBefore w:val="0"/>
        <w:spacing w:line="360" w:lineRule="auto"/>
        <w:widowControl w:val="off"/>
        <w:rPr>
          <w:sz w:val="24"/>
          <w:szCs w:val="24"/>
        </w:rPr>
      </w:pPr>
      <w:r>
        <w:rPr>
          <w:rFonts w:hint="eastAsia"/>
          <w:sz w:val="24"/>
          <w:szCs w:val="24"/>
        </w:rPr>
        <w:t xml:space="preserve">4.1 </w:t>
      </w:r>
      <w:r>
        <w:rPr>
          <w:rFonts w:hint="eastAsia"/>
          <w:sz w:val="24"/>
          <w:szCs w:val="24"/>
          <w:highlight w:val="none"/>
        </w:rPr>
        <w:t xml:space="preserve">投标人应自行承担所有与参与投标有关的费用，无论投标过程中的做法和结果如何，采购人和</w:t>
      </w:r>
      <w:r>
        <w:rPr>
          <w:rFonts w:hint="eastAsia"/>
          <w:sz w:val="24"/>
          <w:szCs w:val="24"/>
          <w:highlight w:val="none"/>
          <w:lang w:val="en-US" w:eastAsia="zh-CN"/>
        </w:rPr>
        <w:t xml:space="preserve">连云港市</w:t>
      </w:r>
      <w:r>
        <w:rPr>
          <w:rFonts w:hint="eastAsia"/>
          <w:sz w:val="24"/>
          <w:szCs w:val="24"/>
          <w:highlight w:val="none"/>
        </w:rPr>
        <w:t xml:space="preserve">政府采购中心（以下简称交易中心）在任何情况下均无义务和责任承担这些费用。</w:t>
      </w:r>
      <w:r/>
    </w:p>
    <w:p>
      <w:pPr>
        <w:ind w:firstLine="480"/>
        <w:jc w:val="left"/>
        <w:pageBreakBefore w:val="0"/>
        <w:spacing w:line="360" w:lineRule="auto"/>
        <w:widowControl w:val="off"/>
        <w:rPr>
          <w:sz w:val="24"/>
          <w:szCs w:val="24"/>
        </w:rPr>
      </w:pPr>
      <w:r>
        <w:rPr>
          <w:rFonts w:hint="eastAsia"/>
          <w:sz w:val="24"/>
          <w:szCs w:val="24"/>
        </w:rPr>
        <w:t xml:space="preserve">4.2 本次招标采购人和交易中心不收取标书工本费与中标服务费。</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5、招标文件的约束力</w:t>
      </w:r>
      <w:r/>
    </w:p>
    <w:p>
      <w:pPr>
        <w:ind w:firstLine="480"/>
        <w:jc w:val="left"/>
        <w:pageBreakBefore w:val="0"/>
        <w:spacing w:line="360" w:lineRule="auto"/>
        <w:widowControl w:val="off"/>
        <w:rPr>
          <w:sz w:val="24"/>
          <w:szCs w:val="24"/>
        </w:rPr>
      </w:pPr>
      <w:r>
        <w:rPr>
          <w:rFonts w:hint="eastAsia"/>
          <w:sz w:val="24"/>
          <w:szCs w:val="24"/>
        </w:rPr>
        <w:t xml:space="preserve">5.1 投标人一旦参与本项目采购活动，即被认为接受了本招标文件的规定和约束。</w:t>
      </w:r>
      <w:r/>
    </w:p>
    <w:p>
      <w:pPr>
        <w:pStyle w:val="693"/>
        <w:pageBreakBefore w:val="0"/>
        <w:spacing w:before="0" w:after="0" w:line="360" w:lineRule="auto"/>
        <w:widowControl w:val="off"/>
        <w:rPr>
          <w:rFonts w:ascii="黑体" w:hAnsi="黑体" w:eastAsia="黑体"/>
          <w:b w:val="0"/>
          <w:lang w:eastAsia="zh-CN"/>
        </w:rPr>
      </w:pPr>
      <w:r>
        <w:rPr>
          <w:rFonts w:hint="eastAsia" w:ascii="黑体" w:hAnsi="黑体" w:eastAsia="黑体"/>
          <w:b w:val="0"/>
          <w:lang w:eastAsia="zh-CN"/>
        </w:rPr>
        <w:t xml:space="preserve">二、招标文件</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6、招标文件的构成</w:t>
      </w:r>
      <w:r/>
    </w:p>
    <w:p>
      <w:pPr>
        <w:ind w:firstLine="480"/>
        <w:jc w:val="left"/>
        <w:pageBreakBefore w:val="0"/>
        <w:spacing w:line="360" w:lineRule="auto"/>
        <w:widowControl w:val="off"/>
        <w:rPr>
          <w:sz w:val="24"/>
          <w:szCs w:val="24"/>
        </w:rPr>
      </w:pPr>
      <w:r>
        <w:rPr>
          <w:rFonts w:hint="eastAsia"/>
          <w:sz w:val="24"/>
          <w:szCs w:val="24"/>
        </w:rPr>
        <w:t xml:space="preserve">6.1 招标文件由以下部分构成：</w:t>
      </w:r>
      <w:r/>
    </w:p>
    <w:p>
      <w:pPr>
        <w:ind w:firstLine="480"/>
        <w:jc w:val="left"/>
        <w:pageBreakBefore w:val="0"/>
        <w:spacing w:line="360" w:lineRule="auto"/>
        <w:widowControl w:val="off"/>
        <w:rPr>
          <w:sz w:val="24"/>
          <w:szCs w:val="24"/>
        </w:rPr>
      </w:pPr>
      <w:r>
        <w:rPr>
          <w:rFonts w:hint="eastAsia"/>
          <w:sz w:val="24"/>
          <w:szCs w:val="24"/>
        </w:rPr>
        <w:t xml:space="preserve">（1）投标邀请</w:t>
      </w:r>
      <w:r/>
    </w:p>
    <w:p>
      <w:pPr>
        <w:ind w:firstLine="480"/>
        <w:jc w:val="left"/>
        <w:pageBreakBefore w:val="0"/>
        <w:spacing w:line="360" w:lineRule="auto"/>
        <w:widowControl w:val="off"/>
        <w:rPr>
          <w:sz w:val="24"/>
          <w:szCs w:val="24"/>
        </w:rPr>
      </w:pPr>
      <w:r>
        <w:rPr>
          <w:rFonts w:hint="eastAsia"/>
          <w:sz w:val="24"/>
          <w:szCs w:val="24"/>
        </w:rPr>
        <w:t xml:space="preserve">（2）投标人须知</w:t>
      </w:r>
      <w:r/>
    </w:p>
    <w:p>
      <w:pPr>
        <w:ind w:firstLine="480"/>
        <w:jc w:val="left"/>
        <w:pageBreakBefore w:val="0"/>
        <w:spacing w:line="360" w:lineRule="auto"/>
        <w:widowControl w:val="off"/>
        <w:rPr>
          <w:sz w:val="24"/>
          <w:szCs w:val="24"/>
        </w:rPr>
      </w:pPr>
      <w:r>
        <w:rPr>
          <w:rFonts w:hint="eastAsia"/>
          <w:sz w:val="24"/>
          <w:szCs w:val="24"/>
        </w:rPr>
        <w:t xml:space="preserve">（3）合同文本</w:t>
      </w:r>
      <w:r/>
    </w:p>
    <w:p>
      <w:pPr>
        <w:ind w:firstLine="480"/>
        <w:jc w:val="left"/>
        <w:pageBreakBefore w:val="0"/>
        <w:spacing w:line="360" w:lineRule="auto"/>
        <w:widowControl w:val="off"/>
        <w:rPr>
          <w:sz w:val="24"/>
          <w:szCs w:val="24"/>
        </w:rPr>
      </w:pPr>
      <w:r>
        <w:rPr>
          <w:rFonts w:hint="eastAsia"/>
          <w:sz w:val="24"/>
          <w:szCs w:val="24"/>
        </w:rPr>
        <w:t xml:space="preserve">（4）采购需求</w:t>
      </w:r>
      <w:r/>
    </w:p>
    <w:p>
      <w:pPr>
        <w:ind w:firstLine="480"/>
        <w:jc w:val="left"/>
        <w:pageBreakBefore w:val="0"/>
        <w:spacing w:line="360" w:lineRule="auto"/>
        <w:widowControl w:val="off"/>
        <w:rPr>
          <w:sz w:val="24"/>
          <w:szCs w:val="24"/>
        </w:rPr>
      </w:pPr>
      <w:r>
        <w:rPr>
          <w:rFonts w:hint="eastAsia"/>
          <w:sz w:val="24"/>
          <w:szCs w:val="24"/>
        </w:rPr>
        <w:t xml:space="preserve">（5）评标方法与评标标准</w:t>
      </w:r>
      <w:r/>
    </w:p>
    <w:p>
      <w:pPr>
        <w:ind w:firstLine="480"/>
        <w:jc w:val="left"/>
        <w:pageBreakBefore w:val="0"/>
        <w:spacing w:line="360" w:lineRule="auto"/>
        <w:widowControl w:val="off"/>
        <w:rPr>
          <w:sz w:val="24"/>
          <w:szCs w:val="24"/>
        </w:rPr>
      </w:pPr>
      <w:r>
        <w:rPr>
          <w:rFonts w:hint="eastAsia"/>
          <w:sz w:val="24"/>
          <w:szCs w:val="24"/>
        </w:rPr>
        <w:t xml:space="preserve">（6）投标文件格式</w:t>
      </w:r>
      <w:r/>
    </w:p>
    <w:p>
      <w:pPr>
        <w:ind w:firstLine="480"/>
        <w:jc w:val="left"/>
        <w:pageBreakBefore w:val="0"/>
        <w:spacing w:line="360" w:lineRule="auto"/>
        <w:widowControl w:val="off"/>
        <w:rPr>
          <w:sz w:val="24"/>
          <w:szCs w:val="24"/>
        </w:rPr>
      </w:pPr>
      <w:r>
        <w:rPr>
          <w:rFonts w:hint="eastAsia"/>
          <w:sz w:val="24"/>
          <w:szCs w:val="24"/>
        </w:rPr>
        <w:t xml:space="preserve">请仔细检查招标文件是否齐全，如有缺漏请立即与交易中心联系解决。</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7、招标文件的澄清</w:t>
      </w:r>
      <w:r/>
    </w:p>
    <w:p>
      <w:pPr>
        <w:ind w:firstLine="480"/>
        <w:jc w:val="left"/>
        <w:pageBreakBefore w:val="0"/>
        <w:spacing w:line="360" w:lineRule="auto"/>
        <w:widowControl w:val="off"/>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8、招标文件的修改</w:t>
      </w:r>
      <w:r/>
    </w:p>
    <w:p>
      <w:pPr>
        <w:ind w:firstLine="480"/>
        <w:jc w:val="left"/>
        <w:pageBreakBefore w:val="0"/>
        <w:spacing w:line="360" w:lineRule="auto"/>
        <w:widowControl w:val="off"/>
        <w:rPr>
          <w:sz w:val="24"/>
          <w:szCs w:val="24"/>
          <w:highlight w:val="none"/>
        </w:rPr>
      </w:pPr>
      <w:r>
        <w:rPr>
          <w:rFonts w:hint="eastAsia"/>
          <w:sz w:val="24"/>
          <w:szCs w:val="24"/>
        </w:rPr>
        <w:t xml:space="preserve">8.1 </w:t>
      </w:r>
      <w:r>
        <w:rPr>
          <w:rFonts w:hint="eastAsia"/>
          <w:sz w:val="24"/>
          <w:szCs w:val="24"/>
          <w:highlight w:val="none"/>
        </w:rPr>
        <w:t xml:space="preserve">在投标截止时间前，采购人和交易中心可以对招标文件进行修改。</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8.2 采购人和交易中心有权按照法定的要求推迟投标截止时间和开标时间。</w:t>
      </w:r>
      <w:r/>
    </w:p>
    <w:p>
      <w:pPr>
        <w:ind w:firstLine="480"/>
        <w:jc w:val="left"/>
        <w:pageBreakBefore w:val="0"/>
        <w:spacing w:line="360" w:lineRule="auto"/>
        <w:widowControl w:val="off"/>
        <w:rPr>
          <w:sz w:val="24"/>
          <w:szCs w:val="24"/>
        </w:rPr>
      </w:pPr>
      <w:r>
        <w:rPr>
          <w:rFonts w:hint="eastAsia"/>
          <w:sz w:val="24"/>
          <w:szCs w:val="24"/>
          <w:highlight w:val="none"/>
        </w:rPr>
        <w:t xml:space="preserve">8.3 招标文件的修改将在江苏政府采购网公布，补充文件将作</w:t>
      </w:r>
      <w:r>
        <w:rPr>
          <w:rFonts w:hint="eastAsia"/>
          <w:sz w:val="24"/>
          <w:szCs w:val="24"/>
        </w:rPr>
        <w:t xml:space="preserve">为招标文件的组成部分，并对投标人具有约束力。</w:t>
      </w:r>
      <w:r/>
    </w:p>
    <w:p>
      <w:pPr>
        <w:pStyle w:val="693"/>
        <w:pageBreakBefore w:val="0"/>
        <w:spacing w:before="0" w:after="0" w:line="360" w:lineRule="auto"/>
        <w:widowControl w:val="off"/>
        <w:rPr>
          <w:rFonts w:ascii="黑体" w:hAnsi="黑体" w:eastAsia="黑体"/>
          <w:b w:val="0"/>
          <w:lang w:eastAsia="zh-CN"/>
        </w:rPr>
      </w:pPr>
      <w:r>
        <w:rPr>
          <w:rFonts w:hint="eastAsia" w:ascii="黑体" w:hAnsi="黑体" w:eastAsia="黑体"/>
          <w:b w:val="0"/>
          <w:lang w:eastAsia="zh-CN"/>
        </w:rPr>
        <w:t xml:space="preserve">三、投标文件编制</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9、投标文件编写注意事项</w:t>
      </w:r>
      <w:r/>
    </w:p>
    <w:p>
      <w:pPr>
        <w:ind w:firstLine="480"/>
        <w:jc w:val="left"/>
        <w:pageBreakBefore w:val="0"/>
        <w:spacing w:line="360" w:lineRule="auto"/>
        <w:widowControl w:val="off"/>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60" w:lineRule="auto"/>
        <w:widowControl w:val="off"/>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10、投标文件的语言及度量衡单位</w:t>
      </w:r>
      <w:r/>
    </w:p>
    <w:p>
      <w:pPr>
        <w:ind w:firstLine="480"/>
        <w:jc w:val="left"/>
        <w:pageBreakBefore w:val="0"/>
        <w:spacing w:line="360" w:lineRule="auto"/>
        <w:widowControl w:val="off"/>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60" w:lineRule="auto"/>
        <w:widowControl w:val="off"/>
        <w:rPr>
          <w:sz w:val="24"/>
          <w:szCs w:val="24"/>
        </w:rPr>
      </w:pPr>
      <w:r>
        <w:rPr>
          <w:rFonts w:hint="eastAsia"/>
          <w:sz w:val="24"/>
          <w:szCs w:val="24"/>
        </w:rPr>
        <w:t xml:space="preserve">10.2 除技术性能另有规定外，投标文件所使用的度量衡单位，均须采用国家法定计量单位。</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11、投标文件的构成</w:t>
      </w:r>
      <w:r/>
    </w:p>
    <w:p>
      <w:pPr>
        <w:ind w:firstLine="480"/>
        <w:jc w:val="left"/>
        <w:pageBreakBefore w:val="0"/>
        <w:spacing w:line="360" w:lineRule="auto"/>
        <w:widowControl w:val="off"/>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60" w:lineRule="auto"/>
        <w:widowControl w:val="off"/>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360" w:lineRule="auto"/>
        <w:widowControl w:val="off"/>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12、证明投标人及投标标的符合招标文件规定的文件</w:t>
      </w:r>
      <w:r/>
    </w:p>
    <w:p>
      <w:pPr>
        <w:ind w:firstLine="480"/>
        <w:jc w:val="left"/>
        <w:pageBreakBefore w:val="0"/>
        <w:spacing w:line="360" w:lineRule="auto"/>
        <w:widowControl w:val="off"/>
        <w:rPr>
          <w:sz w:val="24"/>
          <w:szCs w:val="24"/>
        </w:rPr>
      </w:pPr>
      <w:r>
        <w:rPr>
          <w:rFonts w:hint="eastAsia"/>
          <w:sz w:val="24"/>
          <w:szCs w:val="24"/>
        </w:rPr>
        <w:t xml:space="preserve">12.1 投标人应按照招标文件要求提交证明文件，证明其及投标标的符合招标文件规定。</w:t>
      </w:r>
      <w:r/>
    </w:p>
    <w:p>
      <w:pPr>
        <w:ind w:firstLine="480"/>
        <w:jc w:val="left"/>
        <w:pageBreakBefore w:val="0"/>
        <w:spacing w:line="360" w:lineRule="auto"/>
        <w:widowControl w:val="off"/>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pageBreakBefore w:val="0"/>
        <w:spacing w:line="360" w:lineRule="auto"/>
        <w:widowControl w:val="off"/>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694"/>
        <w:ind w:firstLine="562"/>
        <w:jc w:val="left"/>
        <w:pageBreakBefore w:val="0"/>
        <w:spacing w:before="0" w:after="0" w:line="360" w:lineRule="auto"/>
        <w:widowControl w:val="off"/>
        <w:rPr>
          <w:lang w:eastAsia="zh-CN"/>
        </w:rPr>
      </w:pPr>
      <w:r>
        <w:rPr>
          <w:rFonts w:hint="eastAsia"/>
          <w:sz w:val="28"/>
          <w:szCs w:val="28"/>
          <w:lang w:eastAsia="zh-CN"/>
        </w:rPr>
        <w:t xml:space="preserve">13、投标分项报价表</w:t>
      </w:r>
      <w:r/>
    </w:p>
    <w:p>
      <w:pPr>
        <w:ind w:firstLine="480"/>
        <w:jc w:val="left"/>
        <w:pageBreakBefore w:val="0"/>
        <w:spacing w:line="360" w:lineRule="auto"/>
        <w:widowControl w:val="off"/>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pageBreakBefore w:val="0"/>
        <w:spacing w:line="360" w:lineRule="auto"/>
        <w:widowControl w:val="off"/>
        <w:rPr>
          <w:sz w:val="24"/>
          <w:szCs w:val="24"/>
        </w:rPr>
      </w:pPr>
      <w:r>
        <w:rPr>
          <w:rFonts w:hint="eastAsia"/>
          <w:sz w:val="24"/>
          <w:szCs w:val="24"/>
        </w:rPr>
        <w:t xml:space="preserve">（1）投标的货物总价；</w:t>
      </w:r>
      <w:r/>
    </w:p>
    <w:p>
      <w:pPr>
        <w:ind w:firstLine="480"/>
        <w:jc w:val="left"/>
        <w:pageBreakBefore w:val="0"/>
        <w:spacing w:line="360" w:lineRule="auto"/>
        <w:widowControl w:val="off"/>
        <w:rPr>
          <w:sz w:val="24"/>
          <w:szCs w:val="24"/>
        </w:rPr>
      </w:pPr>
      <w:r>
        <w:rPr>
          <w:rFonts w:hint="eastAsia"/>
          <w:sz w:val="24"/>
          <w:szCs w:val="24"/>
        </w:rPr>
        <w:t xml:space="preserve">（2）货物的标准附件、备品备件、专用工具、运输、装卸等各种费用；</w:t>
      </w:r>
      <w:r/>
    </w:p>
    <w:p>
      <w:pPr>
        <w:ind w:firstLine="480"/>
        <w:jc w:val="left"/>
        <w:pageBreakBefore w:val="0"/>
        <w:spacing w:line="360" w:lineRule="auto"/>
        <w:widowControl w:val="off"/>
        <w:rPr>
          <w:sz w:val="24"/>
          <w:szCs w:val="24"/>
        </w:rPr>
      </w:pPr>
      <w:r>
        <w:rPr>
          <w:rFonts w:hint="eastAsia"/>
          <w:sz w:val="24"/>
          <w:szCs w:val="24"/>
        </w:rPr>
        <w:t xml:space="preserve">（3）必要的保险费用和各项税金；</w:t>
      </w:r>
      <w:r/>
    </w:p>
    <w:p>
      <w:pPr>
        <w:ind w:firstLine="480"/>
        <w:jc w:val="left"/>
        <w:pageBreakBefore w:val="0"/>
        <w:spacing w:line="360" w:lineRule="auto"/>
        <w:widowControl w:val="off"/>
        <w:rPr>
          <w:sz w:val="24"/>
          <w:szCs w:val="24"/>
        </w:rPr>
      </w:pPr>
      <w:r>
        <w:rPr>
          <w:rFonts w:hint="eastAsia"/>
          <w:sz w:val="24"/>
          <w:szCs w:val="24"/>
        </w:rPr>
        <w:t xml:space="preserve">（4）投标总价要求包含安装维保费用。</w:t>
      </w:r>
      <w:r/>
    </w:p>
    <w:p>
      <w:pPr>
        <w:ind w:firstLine="480"/>
        <w:jc w:val="left"/>
        <w:pageBreakBefore w:val="0"/>
        <w:spacing w:line="360" w:lineRule="auto"/>
        <w:widowControl w:val="off"/>
        <w:rPr>
          <w:sz w:val="24"/>
          <w:szCs w:val="24"/>
        </w:rPr>
      </w:pPr>
      <w:r>
        <w:rPr>
          <w:rFonts w:hint="eastAsia"/>
          <w:sz w:val="24"/>
          <w:szCs w:val="24"/>
        </w:rPr>
        <w:t xml:space="preserve">13.2 投标人应根据投标报价要求在投标分项报价表中列明各项投标单价、总价等，未全部列示的作无效响应处理。</w:t>
      </w:r>
      <w:r/>
    </w:p>
    <w:p>
      <w:pPr>
        <w:ind w:firstLine="480"/>
        <w:jc w:val="left"/>
        <w:pageBreakBefore w:val="0"/>
        <w:spacing w:line="360" w:lineRule="auto"/>
        <w:widowControl w:val="off"/>
        <w:rPr>
          <w:sz w:val="24"/>
          <w:szCs w:val="24"/>
        </w:rPr>
      </w:pPr>
      <w:r>
        <w:rPr>
          <w:rFonts w:hint="eastAsia"/>
          <w:sz w:val="24"/>
          <w:szCs w:val="24"/>
        </w:rPr>
        <w:t xml:space="preserve">13.3 投标文件中的单价和总价无特殊规定的采用人民币报价，以元为单位标注。招标文件中另有规定的按规定执行。</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14、技术要求响应及偏离表、商务要求响应及偏离表</w:t>
      </w:r>
      <w:r/>
    </w:p>
    <w:p>
      <w:pPr>
        <w:ind w:firstLine="480"/>
        <w:jc w:val="left"/>
        <w:pageBreakBefore w:val="0"/>
        <w:spacing w:line="360" w:lineRule="auto"/>
        <w:widowControl w:val="off"/>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360" w:lineRule="auto"/>
        <w:widowControl w:val="off"/>
        <w:rPr>
          <w:sz w:val="24"/>
          <w:szCs w:val="24"/>
        </w:rPr>
      </w:pPr>
      <w:r>
        <w:rPr>
          <w:rFonts w:hint="eastAsia"/>
          <w:sz w:val="24"/>
          <w:szCs w:val="24"/>
        </w:rPr>
        <w:t xml:space="preserve">14.2 投标人可在投标文件中提供认为需要的其他技术文件或说明。</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15、服务承诺、培训计划、人员安排及其他</w:t>
      </w:r>
      <w:r/>
    </w:p>
    <w:p>
      <w:pPr>
        <w:ind w:firstLine="480"/>
        <w:jc w:val="left"/>
        <w:pageBreakBefore w:val="0"/>
        <w:spacing w:line="360" w:lineRule="auto"/>
        <w:widowControl w:val="off"/>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360" w:lineRule="auto"/>
        <w:widowControl w:val="off"/>
        <w:rPr>
          <w:sz w:val="24"/>
          <w:szCs w:val="24"/>
        </w:rPr>
      </w:pPr>
      <w:r>
        <w:rPr>
          <w:rFonts w:hint="eastAsia"/>
          <w:sz w:val="24"/>
          <w:szCs w:val="24"/>
        </w:rPr>
        <w:t xml:space="preserve">15.2 投标人应根据招标文件要求提供培训计划、人员安排等。</w:t>
      </w:r>
      <w:r/>
    </w:p>
    <w:p>
      <w:pPr>
        <w:ind w:firstLine="480"/>
        <w:jc w:val="left"/>
        <w:pageBreakBefore w:val="0"/>
        <w:spacing w:line="360" w:lineRule="auto"/>
        <w:widowControl w:val="off"/>
        <w:rPr>
          <w:sz w:val="24"/>
          <w:szCs w:val="24"/>
        </w:rPr>
      </w:pPr>
      <w:r>
        <w:rPr>
          <w:rFonts w:hint="eastAsia"/>
          <w:sz w:val="24"/>
          <w:szCs w:val="24"/>
        </w:rPr>
        <w:t xml:space="preserve">15.3 投标人应根据招标文件要求提供所投标的的主要组成部分、功能设计、实现思路及关键技术等。</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16、投标函和开标一览表</w:t>
      </w:r>
      <w:r/>
    </w:p>
    <w:p>
      <w:pPr>
        <w:ind w:firstLine="480"/>
        <w:jc w:val="left"/>
        <w:pageBreakBefore w:val="0"/>
        <w:spacing w:line="360" w:lineRule="auto"/>
        <w:widowControl w:val="off"/>
        <w:rPr>
          <w:sz w:val="24"/>
          <w:szCs w:val="24"/>
        </w:rPr>
      </w:pPr>
      <w:r>
        <w:rPr>
          <w:rFonts w:hint="eastAsia"/>
          <w:sz w:val="24"/>
          <w:szCs w:val="24"/>
        </w:rPr>
        <w:t xml:space="preserve">16.1 投标人应按照招标文件提供的格式完整、正确填写投标函、开标一览表。</w:t>
      </w:r>
      <w:r/>
    </w:p>
    <w:p>
      <w:pPr>
        <w:ind w:firstLine="480"/>
        <w:jc w:val="left"/>
        <w:pageBreakBefore w:val="0"/>
        <w:spacing w:line="360" w:lineRule="auto"/>
        <w:widowControl w:val="off"/>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17、投标有效期</w:t>
      </w:r>
      <w:r/>
    </w:p>
    <w:p>
      <w:pPr>
        <w:ind w:firstLine="480"/>
        <w:jc w:val="left"/>
        <w:pageBreakBefore w:val="0"/>
        <w:spacing w:line="360" w:lineRule="auto"/>
        <w:widowControl w:val="off"/>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pageBreakBefore w:val="0"/>
        <w:spacing w:line="360" w:lineRule="auto"/>
        <w:widowControl w:val="off"/>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93"/>
        <w:pageBreakBefore w:val="0"/>
        <w:spacing w:before="0" w:after="0" w:line="360" w:lineRule="auto"/>
        <w:widowControl w:val="off"/>
        <w:rPr>
          <w:rFonts w:ascii="黑体" w:hAnsi="黑体" w:eastAsia="黑体"/>
          <w:b w:val="0"/>
          <w:lang w:eastAsia="zh-CN"/>
        </w:rPr>
      </w:pPr>
      <w:r>
        <w:rPr>
          <w:rFonts w:hint="eastAsia" w:ascii="黑体" w:hAnsi="黑体" w:eastAsia="黑体"/>
          <w:b w:val="0"/>
          <w:lang w:eastAsia="zh-CN"/>
        </w:rPr>
        <w:t xml:space="preserve">四、投标文件递交</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18、电子投标文件的递交</w:t>
      </w:r>
      <w:r/>
    </w:p>
    <w:p>
      <w:pPr>
        <w:ind w:firstLine="480"/>
        <w:jc w:val="left"/>
        <w:pageBreakBefore w:val="0"/>
        <w:spacing w:line="360" w:lineRule="auto"/>
        <w:widowControl w:val="off"/>
        <w:rPr>
          <w:sz w:val="24"/>
          <w:szCs w:val="24"/>
        </w:rPr>
      </w:pPr>
      <w:r>
        <w:rPr>
          <w:rFonts w:hint="eastAsia"/>
          <w:sz w:val="24"/>
          <w:szCs w:val="24"/>
        </w:rPr>
        <w:t xml:space="preserve">18.1 投标人应当按照《操作手册》规定，在投标截止时间前制作并递交（上传）电子投标文件。</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19、投标截止时间</w:t>
      </w:r>
      <w:r/>
    </w:p>
    <w:p>
      <w:pPr>
        <w:ind w:firstLine="480"/>
        <w:jc w:val="left"/>
        <w:pageBreakBefore w:val="0"/>
        <w:spacing w:line="360" w:lineRule="auto"/>
        <w:widowControl w:val="off"/>
        <w:rPr>
          <w:sz w:val="24"/>
          <w:szCs w:val="24"/>
        </w:rPr>
      </w:pPr>
      <w:r>
        <w:rPr>
          <w:rFonts w:hint="eastAsia"/>
          <w:sz w:val="24"/>
          <w:szCs w:val="24"/>
        </w:rPr>
        <w:t xml:space="preserve">19.1 投标人递交（上传）电子投标文件的时间不得迟于招标公告中规定的投标截止时间。</w:t>
      </w:r>
      <w:r/>
    </w:p>
    <w:p>
      <w:pPr>
        <w:ind w:firstLine="480"/>
        <w:jc w:val="left"/>
        <w:pageBreakBefore w:val="0"/>
        <w:spacing w:line="360" w:lineRule="auto"/>
        <w:widowControl w:val="off"/>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pageBreakBefore w:val="0"/>
        <w:spacing w:line="360" w:lineRule="auto"/>
        <w:widowControl w:val="off"/>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20、投标文件的拒收</w:t>
      </w:r>
      <w:r/>
    </w:p>
    <w:p>
      <w:pPr>
        <w:ind w:firstLine="480"/>
        <w:jc w:val="left"/>
        <w:pageBreakBefore w:val="0"/>
        <w:spacing w:line="360" w:lineRule="auto"/>
        <w:widowControl w:val="off"/>
        <w:rPr>
          <w:sz w:val="24"/>
          <w:szCs w:val="24"/>
        </w:rPr>
      </w:pPr>
      <w:r>
        <w:rPr>
          <w:rFonts w:hint="eastAsia"/>
          <w:sz w:val="24"/>
          <w:szCs w:val="24"/>
        </w:rPr>
        <w:t xml:space="preserve">20.1 交易中心拒绝接收在招标文件规定的投标截止时间后递交（上传）的任何投标文件。</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21、投标文件的撤回和修改</w:t>
      </w:r>
      <w:r/>
    </w:p>
    <w:p>
      <w:pPr>
        <w:ind w:firstLine="480"/>
        <w:jc w:val="left"/>
        <w:pageBreakBefore w:val="0"/>
        <w:spacing w:line="360" w:lineRule="auto"/>
        <w:widowControl w:val="off"/>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pageBreakBefore w:val="0"/>
        <w:spacing w:line="360" w:lineRule="auto"/>
        <w:widowControl w:val="off"/>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60" w:lineRule="auto"/>
        <w:widowControl w:val="off"/>
        <w:rPr>
          <w:sz w:val="24"/>
          <w:szCs w:val="24"/>
        </w:rPr>
      </w:pPr>
      <w:r>
        <w:rPr>
          <w:rFonts w:hint="eastAsia"/>
          <w:sz w:val="24"/>
          <w:szCs w:val="24"/>
        </w:rPr>
        <w:t xml:space="preserve">21.3 在投标截止时间至招标文件规定的投标有效期满之间的这段时间内，投标人不得撤回其投标。</w:t>
      </w:r>
      <w:r/>
    </w:p>
    <w:p>
      <w:pPr>
        <w:pStyle w:val="693"/>
        <w:pageBreakBefore w:val="0"/>
        <w:spacing w:before="0" w:after="0" w:line="360" w:lineRule="auto"/>
        <w:widowControl w:val="off"/>
        <w:rPr>
          <w:rFonts w:ascii="黑体" w:hAnsi="黑体" w:eastAsia="黑体"/>
          <w:b w:val="0"/>
          <w:lang w:eastAsia="zh-CN"/>
        </w:rPr>
      </w:pPr>
      <w:r>
        <w:rPr>
          <w:rFonts w:hint="eastAsia" w:ascii="黑体" w:hAnsi="黑体" w:eastAsia="黑体"/>
          <w:b w:val="0"/>
          <w:lang w:eastAsia="zh-CN"/>
        </w:rPr>
        <w:t xml:space="preserve">五、开标与评标</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22、开标</w:t>
      </w:r>
      <w:r/>
    </w:p>
    <w:p>
      <w:pPr>
        <w:ind w:firstLine="480"/>
        <w:jc w:val="left"/>
        <w:pageBreakBefore w:val="0"/>
        <w:spacing w:line="360" w:lineRule="auto"/>
        <w:widowControl w:val="off"/>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p>
    <w:p>
      <w:pPr>
        <w:ind w:firstLine="480"/>
        <w:jc w:val="left"/>
        <w:pageBreakBefore w:val="0"/>
        <w:spacing w:line="360" w:lineRule="auto"/>
        <w:widowControl w:val="off"/>
        <w:rPr>
          <w:sz w:val="24"/>
          <w:szCs w:val="24"/>
        </w:rPr>
      </w:pPr>
      <w:r>
        <w:rPr>
          <w:rFonts w:hint="eastAsia"/>
          <w:sz w:val="24"/>
          <w:szCs w:val="24"/>
        </w:rPr>
        <w:t xml:space="preserve">22.2 开标仪式由交易中心组织。“苏采云”系统将自动对项目进行开标，并宣布各投标人名称和投标价格。</w:t>
      </w:r>
      <w:r/>
    </w:p>
    <w:p>
      <w:pPr>
        <w:ind w:firstLine="480"/>
        <w:jc w:val="left"/>
        <w:pageBreakBefore w:val="0"/>
        <w:spacing w:line="360" w:lineRule="auto"/>
        <w:widowControl w:val="off"/>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pageBreakBefore w:val="0"/>
        <w:spacing w:line="360" w:lineRule="auto"/>
        <w:widowControl w:val="off"/>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pageBreakBefore w:val="0"/>
        <w:spacing w:line="360" w:lineRule="auto"/>
        <w:widowControl w:val="off"/>
        <w:rPr>
          <w:sz w:val="24"/>
          <w:szCs w:val="24"/>
        </w:rPr>
      </w:pPr>
      <w:r>
        <w:rPr>
          <w:rFonts w:hint="eastAsia"/>
          <w:sz w:val="24"/>
          <w:szCs w:val="24"/>
        </w:rPr>
        <w:t xml:space="preserve">22.5 投标人未参加开标的，视同认可开标结果。</w:t>
      </w:r>
      <w:r/>
    </w:p>
    <w:p>
      <w:pPr>
        <w:ind w:firstLine="480"/>
        <w:jc w:val="left"/>
        <w:pageBreakBefore w:val="0"/>
        <w:spacing w:line="360" w:lineRule="auto"/>
        <w:widowControl w:val="off"/>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23、评标委员会</w:t>
      </w:r>
      <w:r/>
    </w:p>
    <w:p>
      <w:pPr>
        <w:ind w:firstLine="480"/>
        <w:jc w:val="left"/>
        <w:pageBreakBefore w:val="0"/>
        <w:spacing w:line="360" w:lineRule="auto"/>
        <w:widowControl w:val="off"/>
        <w:rPr>
          <w:sz w:val="24"/>
          <w:szCs w:val="24"/>
        </w:rPr>
      </w:pPr>
      <w:r>
        <w:rPr>
          <w:rFonts w:hint="eastAsia"/>
          <w:sz w:val="24"/>
          <w:szCs w:val="24"/>
        </w:rPr>
        <w:t xml:space="preserve">23.1 开标后，交易中心将组织评委会进行评标。</w:t>
      </w:r>
      <w:r/>
    </w:p>
    <w:p>
      <w:pPr>
        <w:ind w:firstLine="480"/>
        <w:jc w:val="left"/>
        <w:pageBreakBefore w:val="0"/>
        <w:spacing w:line="360" w:lineRule="auto"/>
        <w:widowControl w:val="off"/>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pageBreakBefore w:val="0"/>
        <w:spacing w:line="360" w:lineRule="auto"/>
        <w:widowControl w:val="off"/>
        <w:rPr>
          <w:sz w:val="24"/>
          <w:szCs w:val="24"/>
        </w:rPr>
      </w:pPr>
      <w:r>
        <w:rPr>
          <w:rFonts w:hint="eastAsia"/>
          <w:sz w:val="24"/>
          <w:szCs w:val="24"/>
        </w:rPr>
        <w:t xml:space="preserve">23.3 评委会按照采购文件规定的评审程序、评审方法和评审标准进行独立评审并确定中标候选人。</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24、评标过程的保密与公正</w:t>
      </w:r>
      <w:r/>
    </w:p>
    <w:p>
      <w:pPr>
        <w:ind w:firstLine="480"/>
        <w:jc w:val="left"/>
        <w:pageBreakBefore w:val="0"/>
        <w:spacing w:line="360" w:lineRule="auto"/>
        <w:widowControl w:val="off"/>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p>
    <w:p>
      <w:pPr>
        <w:ind w:firstLine="480"/>
        <w:jc w:val="left"/>
        <w:pageBreakBefore w:val="0"/>
        <w:spacing w:line="360" w:lineRule="auto"/>
        <w:widowControl w:val="off"/>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pageBreakBefore w:val="0"/>
        <w:spacing w:line="360" w:lineRule="auto"/>
        <w:widowControl w:val="off"/>
        <w:rPr>
          <w:sz w:val="24"/>
          <w:szCs w:val="24"/>
        </w:rPr>
      </w:pPr>
      <w:r>
        <w:rPr>
          <w:rFonts w:hint="eastAsia"/>
          <w:sz w:val="24"/>
          <w:szCs w:val="24"/>
        </w:rPr>
        <w:t xml:space="preserve">24.3 交易中心和评委会不向未中标的投标人解释未中标原因，也不公布评标过程中的相关细节。</w:t>
      </w:r>
      <w:r/>
    </w:p>
    <w:p>
      <w:pPr>
        <w:ind w:firstLine="480"/>
        <w:jc w:val="left"/>
        <w:pageBreakBefore w:val="0"/>
        <w:spacing w:line="360" w:lineRule="auto"/>
        <w:widowControl w:val="off"/>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25、投标文件的澄清</w:t>
      </w:r>
      <w:r/>
    </w:p>
    <w:p>
      <w:pPr>
        <w:ind w:firstLine="480"/>
        <w:jc w:val="left"/>
        <w:pageBreakBefore w:val="0"/>
        <w:spacing w:line="360" w:lineRule="auto"/>
        <w:widowControl w:val="off"/>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360" w:lineRule="auto"/>
        <w:widowControl w:val="off"/>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pageBreakBefore w:val="0"/>
        <w:spacing w:line="360" w:lineRule="auto"/>
        <w:widowControl w:val="off"/>
        <w:rPr>
          <w:sz w:val="24"/>
          <w:szCs w:val="24"/>
        </w:rPr>
      </w:pPr>
      <w:r>
        <w:rPr>
          <w:rFonts w:hint="eastAsia"/>
          <w:sz w:val="24"/>
          <w:szCs w:val="24"/>
        </w:rPr>
        <w:t xml:space="preserve">评委会并非对每个投标人都提出澄清、说明或者补正要求。</w:t>
      </w:r>
      <w:r/>
    </w:p>
    <w:p>
      <w:pPr>
        <w:ind w:firstLine="480"/>
        <w:jc w:val="left"/>
        <w:pageBreakBefore w:val="0"/>
        <w:spacing w:line="360" w:lineRule="auto"/>
        <w:widowControl w:val="off"/>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360" w:lineRule="auto"/>
        <w:widowControl w:val="off"/>
        <w:rPr>
          <w:sz w:val="24"/>
          <w:szCs w:val="24"/>
        </w:rPr>
      </w:pPr>
      <w:r>
        <w:rPr>
          <w:rFonts w:hint="eastAsia"/>
          <w:sz w:val="24"/>
          <w:szCs w:val="24"/>
        </w:rPr>
        <w:t xml:space="preserve">25.3 接到评委会澄清、说明或者补正要求的投标人如未按要求响应，其风险由投标人自行承担。</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rPr>
          <w:sz w:val="24"/>
          <w:szCs w:val="24"/>
        </w:rPr>
      </w:r>
      <w:r/>
    </w:p>
    <w:p>
      <w:pPr>
        <w:ind w:firstLine="480"/>
        <w:jc w:val="left"/>
        <w:spacing w:line="500" w:lineRule="exact"/>
        <w:rPr>
          <w:b w:val="0"/>
          <w:bCs w:val="0"/>
          <w:color w:val="auto"/>
          <w:sz w:val="24"/>
          <w:szCs w:val="24"/>
          <w:highlight w:val="none"/>
        </w:rPr>
      </w:pPr>
      <w:r>
        <w:rPr>
          <w:rFonts w:hint="eastAsia"/>
          <w:color w:val="auto"/>
          <w:sz w:val="24"/>
          <w:szCs w:val="24"/>
          <w:highlight w:val="none"/>
        </w:rPr>
        <w:t xml:space="preserve">26.1.2符合性审查：评委会依据招标文件的规定，从投标文件的有效性、完整性和对招标文件的响应程度进行审查，以确定其是否实质性响应了招标文件</w:t>
      </w:r>
      <w:r>
        <w:rPr>
          <w:rFonts w:hint="eastAsia" w:ascii="Calibri" w:hAnsi="Calibri" w:eastAsia="宋体" w:cs="Times New Roman"/>
          <w:color w:val="auto"/>
          <w:sz w:val="24"/>
          <w:szCs w:val="24"/>
          <w:highlight w:val="none"/>
        </w:rPr>
        <w:t xml:space="preserve">要求</w:t>
      </w:r>
      <w:r>
        <w:rPr>
          <w:rFonts w:hint="eastAsia"/>
          <w:b w:val="0"/>
          <w:bCs w:val="0"/>
          <w:color w:val="auto"/>
          <w:sz w:val="24"/>
          <w:szCs w:val="24"/>
          <w:highlight w:val="none"/>
        </w:rPr>
        <w:t xml:space="preserve">。</w:t>
      </w:r>
      <w:r>
        <w:rPr>
          <w:rFonts w:hint="eastAsia" w:ascii="Calibri" w:hAnsi="Calibri" w:eastAsia="宋体" w:cs="Times New Roman"/>
          <w:b w:val="0"/>
          <w:bCs w:val="0"/>
          <w:color w:val="auto"/>
          <w:sz w:val="24"/>
          <w:szCs w:val="24"/>
          <w:highlight w:val="none"/>
        </w:rPr>
        <w:t xml:space="preserve">实质性响应是与招标文件要求的全部实质性</w:t>
      </w:r>
      <w:r>
        <w:rPr>
          <w:rFonts w:hint="eastAsia"/>
          <w:b w:val="0"/>
          <w:bCs w:val="0"/>
          <w:color w:val="auto"/>
          <w:sz w:val="24"/>
          <w:szCs w:val="24"/>
          <w:highlight w:val="none"/>
        </w:rPr>
        <w:t xml:space="preserve">要求和条件</w:t>
      </w:r>
      <w:r>
        <w:rPr>
          <w:rFonts w:hint="eastAsia" w:ascii="Calibri" w:hAnsi="Calibri" w:eastAsia="宋体" w:cs="Times New Roman"/>
          <w:b w:val="0"/>
          <w:bCs w:val="0"/>
          <w:color w:val="auto"/>
          <w:sz w:val="24"/>
          <w:szCs w:val="24"/>
          <w:highlight w:val="none"/>
        </w:rPr>
        <w:t xml:space="preserve">相符</w:t>
      </w:r>
      <w:r>
        <w:rPr>
          <w:rFonts w:hint="eastAsia"/>
          <w:b w:val="0"/>
          <w:bCs w:val="0"/>
          <w:color w:val="auto"/>
          <w:sz w:val="24"/>
          <w:szCs w:val="24"/>
          <w:highlight w:val="none"/>
        </w:rPr>
        <w:t xml:space="preserve">，</w:t>
      </w:r>
      <w:r>
        <w:rPr>
          <w:rFonts w:ascii="Calibri" w:hAnsi="Calibri" w:eastAsia="宋体" w:cs="Times New Roman"/>
          <w:b w:val="0"/>
          <w:bCs w:val="0"/>
          <w:color w:val="auto"/>
          <w:sz w:val="24"/>
          <w:szCs w:val="24"/>
          <w:highlight w:val="none"/>
        </w:rPr>
        <w:t xml:space="preserve">且</w:t>
      </w:r>
      <w:r>
        <w:rPr>
          <w:rFonts w:hint="eastAsia"/>
          <w:b w:val="0"/>
          <w:bCs w:val="0"/>
          <w:color w:val="auto"/>
          <w:sz w:val="24"/>
          <w:szCs w:val="24"/>
          <w:highlight w:val="none"/>
        </w:rPr>
        <w:t xml:space="preserve">与招标文件</w:t>
      </w:r>
      <w:r>
        <w:rPr>
          <w:rFonts w:hint="eastAsia" w:ascii="Calibri" w:hAnsi="Calibri" w:eastAsia="宋体" w:cs="Times New Roman"/>
          <w:b w:val="0"/>
          <w:bCs w:val="0"/>
          <w:color w:val="auto"/>
          <w:sz w:val="24"/>
          <w:szCs w:val="24"/>
          <w:highlight w:val="none"/>
        </w:rPr>
        <w:t xml:space="preserve">的</w:t>
      </w:r>
      <w:r>
        <w:rPr>
          <w:rFonts w:ascii="Calibri" w:hAnsi="Calibri" w:eastAsia="宋体" w:cs="Times New Roman"/>
          <w:b w:val="0"/>
          <w:bCs w:val="0"/>
          <w:color w:val="auto"/>
          <w:sz w:val="24"/>
          <w:szCs w:val="24"/>
          <w:highlight w:val="none"/>
        </w:rPr>
        <w:t xml:space="preserve">其余非实质性</w:t>
      </w:r>
      <w:r>
        <w:rPr>
          <w:b w:val="0"/>
          <w:bCs w:val="0"/>
          <w:color w:val="auto"/>
          <w:sz w:val="24"/>
          <w:szCs w:val="24"/>
          <w:highlight w:val="none"/>
        </w:rPr>
        <w:t xml:space="preserve">要求和条件</w:t>
      </w:r>
      <w:r>
        <w:rPr>
          <w:rFonts w:hint="eastAsia" w:ascii="Calibri" w:hAnsi="Calibri" w:eastAsia="宋体" w:cs="Times New Roman"/>
          <w:b w:val="0"/>
          <w:bCs w:val="0"/>
          <w:color w:val="auto"/>
          <w:sz w:val="24"/>
          <w:szCs w:val="24"/>
          <w:highlight w:val="none"/>
        </w:rPr>
        <w:t xml:space="preserve">没有重大偏离。</w:t>
      </w:r>
      <w:r/>
    </w:p>
    <w:p>
      <w:pPr>
        <w:ind w:firstLine="480"/>
        <w:jc w:val="left"/>
        <w:spacing w:line="500" w:lineRule="exact"/>
        <w:rPr>
          <w:rFonts w:hint="eastAsia"/>
          <w:b w:val="0"/>
          <w:bCs w:val="0"/>
          <w:color w:val="auto"/>
          <w:sz w:val="24"/>
          <w:szCs w:val="24"/>
          <w:highlight w:val="none"/>
        </w:rPr>
      </w:pPr>
      <w:r>
        <w:rPr>
          <w:rFonts w:hint="eastAsia"/>
          <w:b w:val="0"/>
          <w:bCs w:val="0"/>
          <w:color w:val="auto"/>
          <w:sz w:val="24"/>
          <w:szCs w:val="24"/>
          <w:highlight w:val="none"/>
        </w:rPr>
        <w:t xml:space="preserve">未通过资格审查或符合性审查的投标人，将通过“苏采云”系统中告知其未通过的原因，评审结束后，将不再告知。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26.1.3政府采购异常低价审查：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1.投标（响应）报价低于采购项目预算50%的，即投标（响应）报价&lt;采购项目预算×50%；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2.投标（响应）报价低于采购项目最高限价45%的，即投标（响应）报价&lt;采购项目最高限价×45%；</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sz w:val="21"/>
        </w:rPr>
      </w:r>
      <w:r/>
    </w:p>
    <w:p>
      <w:pPr>
        <w:ind w:firstLine="480"/>
        <w:jc w:val="left"/>
        <w:spacing w:line="500" w:lineRule="exact"/>
        <w:rPr>
          <w:color w:val="auto"/>
          <w:sz w:val="24"/>
          <w:szCs w:val="24"/>
          <w:highlight w:val="none"/>
        </w:rPr>
      </w:pPr>
      <w:r>
        <w:rPr>
          <w:rFonts w:hint="eastAsia"/>
          <w:b w:val="0"/>
          <w:bCs w:val="0"/>
          <w:color w:val="auto"/>
          <w:sz w:val="24"/>
          <w:szCs w:val="24"/>
          <w:highlight w:val="none"/>
        </w:rPr>
        <w:t xml:space="preserve">26.2 </w:t>
      </w:r>
      <w:r>
        <w:rPr>
          <w:rFonts w:hint="eastAsia" w:ascii="Calibri" w:hAnsi="Calibri" w:eastAsia="宋体" w:cs="宋体"/>
          <w:b w:val="0"/>
          <w:bCs w:val="0"/>
          <w:color w:val="auto"/>
          <w:sz w:val="24"/>
          <w:szCs w:val="24"/>
          <w:highlight w:val="none"/>
        </w:rPr>
        <w:t xml:space="preserve">所谓重大偏离</w:t>
      </w:r>
      <w:r>
        <w:rPr>
          <w:rFonts w:ascii="宋体" w:hAnsi="宋体" w:eastAsia="宋体" w:cs="Times New Roman"/>
          <w:b w:val="0"/>
          <w:bCs w:val="0"/>
          <w:color w:val="auto"/>
          <w:sz w:val="24"/>
          <w:highlight w:val="none"/>
        </w:rPr>
        <w:t xml:space="preserve">是指</w:t>
      </w:r>
      <w:r>
        <w:rPr>
          <w:rFonts w:hint="eastAsia" w:ascii="Calibri" w:hAnsi="Calibri" w:eastAsia="宋体" w:cs="宋体"/>
          <w:b w:val="0"/>
          <w:bCs w:val="0"/>
          <w:color w:val="auto"/>
          <w:sz w:val="24"/>
          <w:szCs w:val="24"/>
          <w:highlight w:val="none"/>
        </w:rPr>
        <w:t xml:space="preserve">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w:t>
      </w:r>
      <w:r>
        <w:rPr>
          <w:rFonts w:hint="eastAsia" w:ascii="Calibri" w:hAnsi="Calibri" w:eastAsia="宋体" w:cs="宋体"/>
          <w:color w:val="auto"/>
          <w:sz w:val="24"/>
          <w:szCs w:val="24"/>
          <w:highlight w:val="none"/>
        </w:rPr>
        <w:t xml:space="preserve">应性只根据投标文件本身的内容，而不寻求外部的证据。</w:t>
      </w:r>
      <w:r/>
    </w:p>
    <w:p>
      <w:pPr>
        <w:ind w:firstLine="480"/>
        <w:jc w:val="left"/>
        <w:spacing w:line="500" w:lineRule="exact"/>
        <w:rPr>
          <w:sz w:val="24"/>
          <w:szCs w:val="24"/>
        </w:rPr>
      </w:pPr>
      <w:r>
        <w:rPr>
          <w:rFonts w:hint="eastAsia"/>
          <w:color w:val="auto"/>
          <w:sz w:val="24"/>
          <w:szCs w:val="24"/>
          <w:highlight w:val="none"/>
        </w:rPr>
        <w:t xml:space="preserve">26.3如果投标文件实质上</w:t>
      </w:r>
      <w:r>
        <w:rPr>
          <w:rFonts w:hint="eastAsia"/>
          <w:sz w:val="24"/>
          <w:szCs w:val="24"/>
        </w:rPr>
        <w:t xml:space="preserve">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w:t>
      </w: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694"/>
        <w:ind w:firstLine="562"/>
        <w:jc w:val="left"/>
        <w:pageBreakBefore w:val="0"/>
        <w:spacing w:before="0" w:after="0" w:line="500" w:lineRule="exact"/>
        <w:widowControl w:val="off"/>
        <w:rPr>
          <w:sz w:val="28"/>
          <w:szCs w:val="28"/>
          <w:lang w:eastAsia="zh-CN"/>
        </w:rPr>
      </w:pPr>
      <w:r>
        <w:rPr>
          <w:rFonts w:hint="eastAsia"/>
          <w:sz w:val="28"/>
          <w:szCs w:val="28"/>
          <w:lang w:eastAsia="zh-CN"/>
        </w:rPr>
        <w:t xml:space="preserve">27、无效投标条款和废标条款</w:t>
      </w:r>
      <w:r/>
    </w:p>
    <w:p>
      <w:pPr>
        <w:ind w:firstLine="480"/>
        <w:jc w:val="left"/>
        <w:pageBreakBefore w:val="0"/>
        <w:spacing w:line="500" w:lineRule="exact"/>
        <w:widowControl w:val="off"/>
        <w:rPr>
          <w:sz w:val="24"/>
          <w:szCs w:val="24"/>
        </w:rPr>
      </w:pPr>
      <w:r>
        <w:rPr>
          <w:rFonts w:hint="eastAsia"/>
          <w:sz w:val="24"/>
          <w:szCs w:val="24"/>
        </w:rPr>
        <w:t xml:space="preserve">27.1 无效投标条款：</w:t>
      </w:r>
      <w:r/>
    </w:p>
    <w:p>
      <w:pPr>
        <w:ind w:firstLine="480"/>
        <w:jc w:val="left"/>
        <w:keepLines w:val="0"/>
        <w:keepNext w:val="0"/>
        <w:pageBreakBefore w:val="0"/>
        <w:spacing w:line="500" w:lineRule="exact"/>
        <w:widowControl w:val="off"/>
        <w:rPr>
          <w:sz w:val="24"/>
          <w:szCs w:val="24"/>
        </w:rPr>
      </w:pPr>
      <w:r>
        <w:rPr>
          <w:rFonts w:hint="eastAsia"/>
          <w:sz w:val="24"/>
          <w:szCs w:val="24"/>
        </w:rPr>
        <w:t xml:space="preserve">（1）投标人未按照招标文件要求递交（上传）电子投标文件的。</w:t>
      </w:r>
      <w:r/>
    </w:p>
    <w:p>
      <w:pPr>
        <w:ind w:firstLine="480"/>
        <w:jc w:val="left"/>
        <w:keepLines w:val="0"/>
        <w:keepNext w:val="0"/>
        <w:pageBreakBefore w:val="0"/>
        <w:spacing w:line="500" w:lineRule="exact"/>
        <w:widowControl w:val="off"/>
        <w:rPr>
          <w:sz w:val="24"/>
          <w:szCs w:val="24"/>
        </w:rPr>
      </w:pPr>
      <w:r>
        <w:rPr>
          <w:rFonts w:hint="eastAsia"/>
          <w:sz w:val="24"/>
          <w:szCs w:val="24"/>
        </w:rPr>
        <w:t xml:space="preserve">（2）投标人在“苏采云”系统规定的时间内未成功解密电子投标文件的。</w:t>
      </w:r>
      <w:r/>
    </w:p>
    <w:p>
      <w:pPr>
        <w:ind w:firstLine="480"/>
        <w:jc w:val="left"/>
        <w:keepLines w:val="0"/>
        <w:keepNext w:val="0"/>
        <w:pageBreakBefore w:val="0"/>
        <w:spacing w:line="500" w:lineRule="exact"/>
        <w:widowControl w:val="off"/>
        <w:rPr>
          <w:sz w:val="24"/>
          <w:szCs w:val="24"/>
        </w:rPr>
      </w:pPr>
      <w:r>
        <w:rPr>
          <w:rFonts w:hint="eastAsia"/>
          <w:sz w:val="24"/>
          <w:szCs w:val="24"/>
        </w:rPr>
        <w:t xml:space="preserve">（3）投标人不具备招标文件中规定的资格要求的。</w:t>
      </w:r>
      <w:r/>
    </w:p>
    <w:p>
      <w:pPr>
        <w:ind w:firstLine="480"/>
        <w:jc w:val="left"/>
        <w:keepLines w:val="0"/>
        <w:keepNext w:val="0"/>
        <w:pageBreakBefore w:val="0"/>
        <w:spacing w:line="500" w:lineRule="exact"/>
        <w:widowControl w:val="off"/>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keepLines w:val="0"/>
        <w:keepNext w:val="0"/>
        <w:pageBreakBefore w:val="0"/>
        <w:spacing w:line="500" w:lineRule="exact"/>
        <w:widowControl w:val="off"/>
        <w:rPr>
          <w:sz w:val="24"/>
          <w:szCs w:val="24"/>
        </w:rPr>
      </w:pPr>
      <w:r>
        <w:rPr>
          <w:rFonts w:hint="eastAsia"/>
          <w:sz w:val="24"/>
          <w:szCs w:val="24"/>
        </w:rPr>
        <w:t xml:space="preserve">（5）投标人提交两个（含两个）以上不同的投标报价的。</w:t>
      </w:r>
      <w:r/>
    </w:p>
    <w:p>
      <w:pPr>
        <w:ind w:firstLine="480"/>
        <w:jc w:val="left"/>
        <w:keepLines w:val="0"/>
        <w:keepNext w:val="0"/>
        <w:pageBreakBefore w:val="0"/>
        <w:spacing w:line="500" w:lineRule="exact"/>
        <w:widowControl w:val="off"/>
        <w:rPr>
          <w:sz w:val="24"/>
          <w:szCs w:val="24"/>
        </w:rPr>
      </w:pPr>
      <w:r>
        <w:rPr>
          <w:rFonts w:hint="eastAsia"/>
          <w:sz w:val="24"/>
          <w:szCs w:val="24"/>
        </w:rPr>
        <w:t xml:space="preserve">（6）投标人的报价超过了采购预算或者最高限价的。</w:t>
      </w:r>
      <w:r/>
    </w:p>
    <w:p>
      <w:pPr>
        <w:ind w:firstLine="482"/>
        <w:jc w:val="left"/>
        <w:keepLines w:val="0"/>
        <w:keepNext w:val="0"/>
        <w:pageBreakBefore w:val="0"/>
        <w:spacing w:line="500" w:lineRule="exact"/>
        <w:widowControl w:val="off"/>
        <w:rPr>
          <w:rFonts w:hint="eastAsia"/>
          <w:b/>
          <w:bCs/>
          <w:sz w:val="24"/>
          <w:szCs w:val="24"/>
        </w:rPr>
      </w:pPr>
      <w:r>
        <w:rPr>
          <w:rFonts w:hint="eastAsia"/>
          <w:b/>
          <w:bCs/>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2"/>
        <w:jc w:val="left"/>
        <w:keepLines w:val="0"/>
        <w:keepNext w:val="0"/>
        <w:pageBreakBefore w:val="0"/>
        <w:spacing w:line="500" w:lineRule="exact"/>
        <w:widowControl w:val="off"/>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2"/>
        <w:jc w:val="left"/>
        <w:keepLines w:val="0"/>
        <w:keepNext w:val="0"/>
        <w:pageBreakBefore w:val="0"/>
        <w:spacing w:line="500" w:lineRule="exact"/>
        <w:widowControl w:val="off"/>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2"/>
        <w:jc w:val="left"/>
        <w:keepLines w:val="0"/>
        <w:keepNext w:val="0"/>
        <w:pageBreakBefore w:val="0"/>
        <w:spacing w:line="500" w:lineRule="exact"/>
        <w:widowControl w:val="off"/>
        <w:rPr>
          <w:sz w:val="24"/>
          <w:szCs w:val="24"/>
        </w:rPr>
      </w:pPr>
      <w:r>
        <w:rPr>
          <w:rFonts w:hint="eastAsia"/>
          <w:sz w:val="24"/>
          <w:szCs w:val="24"/>
        </w:rPr>
        <w:t xml:space="preserve">（10）投标人未通过符合性审查的。</w:t>
      </w:r>
      <w:r/>
    </w:p>
    <w:p>
      <w:pPr>
        <w:ind w:firstLine="480"/>
        <w:jc w:val="left"/>
        <w:keepLines w:val="0"/>
        <w:keepNext w:val="0"/>
        <w:pageBreakBefore w:val="0"/>
        <w:spacing w:line="500" w:lineRule="exact"/>
        <w:widowControl w:val="off"/>
        <w:rPr>
          <w:sz w:val="24"/>
          <w:szCs w:val="24"/>
        </w:rPr>
      </w:pPr>
      <w:r>
        <w:rPr>
          <w:rFonts w:hint="eastAsia"/>
          <w:sz w:val="24"/>
          <w:szCs w:val="24"/>
        </w:rPr>
        <w:t xml:space="preserve">（11）投标文件含有采购人不能接受的附加条件的。</w:t>
      </w:r>
      <w:r/>
    </w:p>
    <w:p>
      <w:pPr>
        <w:ind w:firstLine="480"/>
        <w:jc w:val="left"/>
        <w:keepLines w:val="0"/>
        <w:keepNext w:val="0"/>
        <w:pageBreakBefore w:val="0"/>
        <w:spacing w:line="500" w:lineRule="exact"/>
        <w:widowControl w:val="off"/>
        <w:rPr>
          <w:sz w:val="24"/>
          <w:szCs w:val="24"/>
        </w:rPr>
      </w:pPr>
      <w:r>
        <w:rPr>
          <w:rFonts w:hint="eastAsia"/>
          <w:sz w:val="24"/>
          <w:szCs w:val="24"/>
        </w:rPr>
        <w:t xml:space="preserve">（12）投标文件未按照招标文件要求加盖公章（CA电子公章）的。</w:t>
      </w:r>
      <w:r/>
    </w:p>
    <w:p>
      <w:pPr>
        <w:ind w:firstLine="480"/>
        <w:jc w:val="left"/>
        <w:keepLines w:val="0"/>
        <w:keepNext w:val="0"/>
        <w:pageBreakBefore w:val="0"/>
        <w:spacing w:line="500" w:lineRule="exact"/>
        <w:widowControl w:val="off"/>
        <w:rPr>
          <w:sz w:val="24"/>
          <w:szCs w:val="24"/>
        </w:rPr>
      </w:pPr>
      <w:r>
        <w:rPr>
          <w:rFonts w:hint="eastAsia"/>
          <w:sz w:val="24"/>
          <w:szCs w:val="24"/>
        </w:rPr>
        <w:t xml:space="preserve">（13）其他法律、法规及本招标文件规定的属于无效投标的情形。</w:t>
      </w:r>
      <w:r/>
    </w:p>
    <w:p>
      <w:pPr>
        <w:ind w:firstLine="480"/>
        <w:jc w:val="left"/>
        <w:keepLines w:val="0"/>
        <w:keepNext w:val="0"/>
        <w:pageBreakBefore w:val="0"/>
        <w:spacing w:line="500" w:lineRule="exact"/>
        <w:widowControl w:val="off"/>
        <w:rPr>
          <w:sz w:val="24"/>
          <w:szCs w:val="24"/>
        </w:rPr>
      </w:pPr>
      <w:r>
        <w:rPr>
          <w:rFonts w:hint="eastAsia"/>
          <w:sz w:val="24"/>
          <w:szCs w:val="24"/>
        </w:rPr>
        <w:t xml:space="preserve">27.2 有下列情形之一的，视为投标人串通投标，投标无效：</w:t>
      </w:r>
      <w:r/>
    </w:p>
    <w:p>
      <w:pPr>
        <w:ind w:firstLine="480"/>
        <w:jc w:val="left"/>
        <w:keepLines w:val="0"/>
        <w:keepNext w:val="0"/>
        <w:pageBreakBefore w:val="0"/>
        <w:spacing w:line="500" w:lineRule="exact"/>
        <w:widowControl w:val="off"/>
        <w:rPr>
          <w:sz w:val="24"/>
          <w:szCs w:val="24"/>
        </w:rPr>
      </w:pPr>
      <w:r>
        <w:rPr>
          <w:rFonts w:hint="eastAsia"/>
          <w:sz w:val="24"/>
          <w:szCs w:val="24"/>
        </w:rPr>
        <w:t xml:space="preserve">（1）不同投标人的投标文件由同一单位或者个人编制。</w:t>
      </w:r>
      <w:r/>
    </w:p>
    <w:p>
      <w:pPr>
        <w:ind w:firstLine="482"/>
        <w:jc w:val="left"/>
        <w:keepLines w:val="0"/>
        <w:keepNext w:val="0"/>
        <w:pageBreakBefore w:val="0"/>
        <w:spacing w:line="500" w:lineRule="exact"/>
        <w:widowControl w:val="off"/>
        <w:rPr>
          <w:sz w:val="24"/>
          <w:szCs w:val="24"/>
        </w:rPr>
      </w:pPr>
      <w:r>
        <w:rPr>
          <w:rFonts w:hint="eastAsia"/>
          <w:sz w:val="24"/>
          <w:szCs w:val="24"/>
        </w:rPr>
        <w:t xml:space="preserve">（2）不同投标人委托同一单位或者个人办理投标事宜。</w:t>
      </w:r>
      <w:r/>
    </w:p>
    <w:p>
      <w:pPr>
        <w:ind w:firstLine="482"/>
        <w:jc w:val="left"/>
        <w:keepLines w:val="0"/>
        <w:keepNext w:val="0"/>
        <w:pageBreakBefore w:val="0"/>
        <w:spacing w:line="500" w:lineRule="exact"/>
        <w:widowControl w:val="off"/>
        <w:rPr>
          <w:sz w:val="24"/>
          <w:szCs w:val="24"/>
        </w:rPr>
      </w:pPr>
      <w:r>
        <w:rPr>
          <w:rFonts w:hint="eastAsia"/>
          <w:sz w:val="24"/>
          <w:szCs w:val="24"/>
        </w:rPr>
        <w:t xml:space="preserve">（3）不同投标人的投标文件载明的项目管理成员或者联系人员为同一人。</w:t>
      </w:r>
      <w:r/>
    </w:p>
    <w:p>
      <w:pPr>
        <w:ind w:firstLine="480"/>
        <w:jc w:val="left"/>
        <w:pageBreakBefore w:val="0"/>
        <w:spacing w:line="360" w:lineRule="auto"/>
        <w:widowControl w:val="off"/>
        <w:rPr>
          <w:sz w:val="24"/>
          <w:szCs w:val="24"/>
        </w:rPr>
      </w:pPr>
      <w:r>
        <w:rPr>
          <w:rFonts w:hint="eastAsia"/>
          <w:sz w:val="24"/>
          <w:szCs w:val="24"/>
        </w:rPr>
        <w:t xml:space="preserve">（4）不同投标人的投标文件异常一致或者投标报价呈规律性差异。</w:t>
      </w:r>
      <w:r/>
    </w:p>
    <w:p>
      <w:pPr>
        <w:ind w:firstLine="480"/>
        <w:jc w:val="left"/>
        <w:pageBreakBefore w:val="0"/>
        <w:spacing w:line="360" w:lineRule="auto"/>
        <w:widowControl w:val="off"/>
        <w:rPr>
          <w:sz w:val="24"/>
          <w:szCs w:val="24"/>
        </w:rPr>
      </w:pPr>
      <w:r>
        <w:rPr>
          <w:rFonts w:hint="eastAsia"/>
          <w:sz w:val="24"/>
          <w:szCs w:val="24"/>
        </w:rPr>
        <w:t xml:space="preserve">（5）不同投标人的投标文件相互混装。</w:t>
      </w:r>
      <w:r/>
    </w:p>
    <w:p>
      <w:pPr>
        <w:ind w:firstLine="480"/>
        <w:jc w:val="left"/>
        <w:pageBreakBefore w:val="0"/>
        <w:spacing w:line="360" w:lineRule="auto"/>
        <w:widowControl w:val="off"/>
        <w:rPr>
          <w:sz w:val="24"/>
          <w:szCs w:val="24"/>
        </w:rPr>
      </w:pPr>
      <w:r>
        <w:rPr>
          <w:rFonts w:hint="eastAsia"/>
          <w:sz w:val="24"/>
          <w:szCs w:val="24"/>
        </w:rPr>
        <w:t xml:space="preserve">27.3 废标条款：</w:t>
      </w:r>
      <w:r/>
    </w:p>
    <w:p>
      <w:pPr>
        <w:ind w:firstLine="480"/>
        <w:jc w:val="left"/>
        <w:pageBreakBefore w:val="0"/>
        <w:spacing w:line="360" w:lineRule="auto"/>
        <w:widowControl w:val="off"/>
        <w:rPr>
          <w:sz w:val="24"/>
          <w:szCs w:val="24"/>
        </w:rPr>
      </w:pPr>
      <w:r>
        <w:rPr>
          <w:rFonts w:hint="eastAsia"/>
          <w:sz w:val="24"/>
          <w:szCs w:val="24"/>
        </w:rPr>
        <w:t xml:space="preserve">（1）因“苏采云”系统故障原因造成开标不成功的。</w:t>
      </w:r>
      <w:r/>
    </w:p>
    <w:p>
      <w:pPr>
        <w:ind w:firstLine="480"/>
        <w:jc w:val="left"/>
        <w:pageBreakBefore w:val="0"/>
        <w:spacing w:line="360" w:lineRule="auto"/>
        <w:widowControl w:val="off"/>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pageBreakBefore w:val="0"/>
        <w:spacing w:line="360" w:lineRule="auto"/>
        <w:widowControl w:val="off"/>
        <w:rPr>
          <w:sz w:val="24"/>
          <w:szCs w:val="24"/>
        </w:rPr>
      </w:pPr>
      <w:r>
        <w:rPr>
          <w:rFonts w:hint="eastAsia"/>
          <w:sz w:val="24"/>
          <w:szCs w:val="24"/>
        </w:rPr>
        <w:t xml:space="preserve">（3）符合专业条件的供应商或者对招标文件作实质响应的供应商不足三家的。</w:t>
      </w:r>
      <w:r/>
    </w:p>
    <w:p>
      <w:pPr>
        <w:ind w:firstLine="480"/>
        <w:jc w:val="left"/>
        <w:pageBreakBefore w:val="0"/>
        <w:spacing w:line="360" w:lineRule="auto"/>
        <w:widowControl w:val="off"/>
        <w:rPr>
          <w:sz w:val="24"/>
          <w:szCs w:val="24"/>
        </w:rPr>
      </w:pPr>
      <w:r>
        <w:rPr>
          <w:rFonts w:hint="eastAsia"/>
          <w:sz w:val="24"/>
          <w:szCs w:val="24"/>
        </w:rPr>
        <w:t xml:space="preserve">（4）出现影响采购公正的违法、违规行为的。</w:t>
      </w:r>
      <w:r/>
    </w:p>
    <w:p>
      <w:pPr>
        <w:ind w:firstLine="480"/>
        <w:jc w:val="left"/>
        <w:pageBreakBefore w:val="0"/>
        <w:spacing w:line="360" w:lineRule="auto"/>
        <w:widowControl w:val="off"/>
        <w:rPr>
          <w:sz w:val="24"/>
          <w:szCs w:val="24"/>
        </w:rPr>
      </w:pPr>
      <w:r>
        <w:rPr>
          <w:rFonts w:hint="eastAsia"/>
          <w:sz w:val="24"/>
          <w:szCs w:val="24"/>
        </w:rPr>
        <w:t xml:space="preserve">（5）因重大变故，采购任务取消的。</w:t>
      </w:r>
      <w:r/>
    </w:p>
    <w:p>
      <w:pPr>
        <w:ind w:firstLine="480"/>
        <w:jc w:val="left"/>
        <w:pageBreakBefore w:val="0"/>
        <w:spacing w:line="360" w:lineRule="auto"/>
        <w:widowControl w:val="off"/>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693"/>
        <w:pageBreakBefore w:val="0"/>
        <w:spacing w:before="0" w:after="0" w:line="360" w:lineRule="auto"/>
        <w:widowControl w:val="off"/>
        <w:rPr>
          <w:rFonts w:ascii="黑体" w:hAnsi="黑体" w:eastAsia="黑体"/>
          <w:b w:val="0"/>
          <w:lang w:eastAsia="zh-CN"/>
        </w:rPr>
      </w:pPr>
      <w:r>
        <w:rPr>
          <w:rFonts w:hint="eastAsia" w:ascii="黑体" w:hAnsi="黑体" w:eastAsia="黑体"/>
          <w:b w:val="0"/>
          <w:lang w:eastAsia="zh-CN"/>
        </w:rPr>
        <w:t xml:space="preserve">六、定标</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28、确定中标单位</w:t>
      </w:r>
      <w:r/>
    </w:p>
    <w:p>
      <w:pPr>
        <w:ind w:firstLine="480"/>
        <w:jc w:val="left"/>
        <w:pageBreakBefore w:val="0"/>
        <w:spacing w:line="360" w:lineRule="auto"/>
        <w:widowControl w:val="off"/>
        <w:rPr>
          <w:sz w:val="24"/>
          <w:szCs w:val="24"/>
        </w:rPr>
      </w:pPr>
      <w:r>
        <w:rPr>
          <w:rFonts w:hint="eastAsia"/>
          <w:sz w:val="24"/>
          <w:szCs w:val="24"/>
        </w:rPr>
        <w:t xml:space="preserve">28.1 中标候选人的选取原则和数量详见招标文件第五章规定。</w:t>
      </w:r>
      <w:r/>
    </w:p>
    <w:p>
      <w:pPr>
        <w:ind w:firstLine="480"/>
        <w:jc w:val="left"/>
        <w:pageBreakBefore w:val="0"/>
        <w:spacing w:line="360" w:lineRule="auto"/>
        <w:widowControl w:val="off"/>
        <w:rPr>
          <w:sz w:val="24"/>
          <w:szCs w:val="24"/>
        </w:rPr>
      </w:pPr>
      <w:r>
        <w:rPr>
          <w:rFonts w:hint="eastAsia"/>
          <w:sz w:val="24"/>
          <w:szCs w:val="24"/>
        </w:rPr>
        <w:t xml:space="preserve">28.2 采购人应根据评委会推荐的中标候选人确定中标人。</w:t>
      </w:r>
      <w:r/>
    </w:p>
    <w:p>
      <w:pPr>
        <w:ind w:firstLine="480"/>
        <w:jc w:val="left"/>
        <w:pageBreakBefore w:val="0"/>
        <w:spacing w:line="360" w:lineRule="auto"/>
        <w:widowControl w:val="off"/>
        <w:rPr>
          <w:sz w:val="24"/>
          <w:szCs w:val="24"/>
        </w:rPr>
      </w:pPr>
      <w:r>
        <w:rPr>
          <w:rFonts w:hint="eastAsia"/>
          <w:sz w:val="24"/>
          <w:szCs w:val="24"/>
        </w:rPr>
        <w:t xml:space="preserve">28.3 交易中心将在江苏政府采购网发布中标公告，公告期限为1个工作日。</w:t>
      </w:r>
      <w:r/>
    </w:p>
    <w:p>
      <w:pPr>
        <w:ind w:firstLine="480"/>
        <w:jc w:val="left"/>
        <w:pageBreakBefore w:val="0"/>
        <w:spacing w:line="360" w:lineRule="auto"/>
        <w:widowControl w:val="off"/>
        <w:rPr>
          <w:sz w:val="24"/>
          <w:szCs w:val="24"/>
        </w:rPr>
      </w:pPr>
      <w:r>
        <w:rPr>
          <w:rFonts w:hint="eastAsia"/>
          <w:sz w:val="24"/>
          <w:szCs w:val="24"/>
        </w:rPr>
        <w:t xml:space="preserve">28.4 若有充分证据证明，中标人存在下列情形之一的，一经查实，将被取消中标资格：</w:t>
      </w:r>
      <w:r/>
    </w:p>
    <w:p>
      <w:pPr>
        <w:ind w:firstLine="480"/>
        <w:jc w:val="left"/>
        <w:pageBreakBefore w:val="0"/>
        <w:spacing w:line="360" w:lineRule="auto"/>
        <w:widowControl w:val="off"/>
        <w:rPr>
          <w:sz w:val="24"/>
          <w:szCs w:val="24"/>
        </w:rPr>
      </w:pPr>
      <w:r>
        <w:rPr>
          <w:rFonts w:hint="eastAsia"/>
          <w:sz w:val="24"/>
          <w:szCs w:val="24"/>
        </w:rPr>
        <w:t xml:space="preserve">（1）提供虚假材料谋取中标、成交的。</w:t>
      </w:r>
      <w:r/>
    </w:p>
    <w:p>
      <w:pPr>
        <w:ind w:firstLine="480"/>
        <w:jc w:val="left"/>
        <w:pageBreakBefore w:val="0"/>
        <w:spacing w:line="360" w:lineRule="auto"/>
        <w:widowControl w:val="off"/>
        <w:rPr>
          <w:sz w:val="24"/>
          <w:szCs w:val="24"/>
        </w:rPr>
      </w:pPr>
      <w:r>
        <w:rPr>
          <w:rFonts w:hint="eastAsia"/>
          <w:sz w:val="24"/>
          <w:szCs w:val="24"/>
        </w:rPr>
        <w:t xml:space="preserve">（2）采取不正当手段诋毁、排挤其他供应商的。</w:t>
      </w:r>
      <w:r/>
    </w:p>
    <w:p>
      <w:pPr>
        <w:ind w:firstLine="480"/>
        <w:jc w:val="left"/>
        <w:pageBreakBefore w:val="0"/>
        <w:spacing w:line="360" w:lineRule="auto"/>
        <w:widowControl w:val="off"/>
        <w:rPr>
          <w:sz w:val="24"/>
          <w:szCs w:val="24"/>
        </w:rPr>
      </w:pPr>
      <w:r>
        <w:rPr>
          <w:rFonts w:hint="eastAsia"/>
          <w:sz w:val="24"/>
          <w:szCs w:val="24"/>
        </w:rPr>
        <w:t xml:space="preserve">（3）与采购人、其他供应商或者交易中心恶意串通的。</w:t>
      </w:r>
      <w:r/>
    </w:p>
    <w:p>
      <w:pPr>
        <w:ind w:firstLine="480"/>
        <w:jc w:val="left"/>
        <w:pageBreakBefore w:val="0"/>
        <w:spacing w:line="360" w:lineRule="auto"/>
        <w:widowControl w:val="off"/>
        <w:rPr>
          <w:sz w:val="24"/>
          <w:szCs w:val="24"/>
        </w:rPr>
      </w:pPr>
      <w:r>
        <w:rPr>
          <w:rFonts w:hint="eastAsia"/>
          <w:sz w:val="24"/>
          <w:szCs w:val="24"/>
        </w:rPr>
        <w:t xml:space="preserve">（4）向采购人、交易中心行贿或者提供其他不正当利益的。</w:t>
      </w:r>
      <w:r/>
    </w:p>
    <w:p>
      <w:pPr>
        <w:ind w:firstLine="480"/>
        <w:jc w:val="left"/>
        <w:pageBreakBefore w:val="0"/>
        <w:spacing w:line="360" w:lineRule="auto"/>
        <w:widowControl w:val="off"/>
        <w:rPr>
          <w:sz w:val="24"/>
          <w:szCs w:val="24"/>
        </w:rPr>
      </w:pPr>
      <w:r>
        <w:rPr>
          <w:rFonts w:hint="eastAsia"/>
          <w:sz w:val="24"/>
          <w:szCs w:val="24"/>
        </w:rPr>
        <w:t xml:space="preserve">（5）在招标采购过程中与采购人进行协商谈判的。</w:t>
      </w:r>
      <w:r/>
    </w:p>
    <w:p>
      <w:pPr>
        <w:ind w:firstLine="480"/>
        <w:jc w:val="left"/>
        <w:pageBreakBefore w:val="0"/>
        <w:spacing w:line="360" w:lineRule="auto"/>
        <w:widowControl w:val="off"/>
        <w:rPr>
          <w:sz w:val="24"/>
          <w:szCs w:val="24"/>
        </w:rPr>
      </w:pPr>
      <w:r>
        <w:rPr>
          <w:rFonts w:hint="eastAsia"/>
          <w:sz w:val="24"/>
          <w:szCs w:val="24"/>
        </w:rPr>
        <w:t xml:space="preserve">（6）属于本招标文件规定的无效情形，但在评标过程中又未被评委会发现的。</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29、中标通知书</w:t>
      </w:r>
      <w:r/>
    </w:p>
    <w:p>
      <w:pPr>
        <w:ind w:firstLine="480"/>
        <w:jc w:val="left"/>
        <w:pageBreakBefore w:val="0"/>
        <w:spacing w:line="360" w:lineRule="auto"/>
        <w:widowControl w:val="off"/>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pageBreakBefore w:val="0"/>
        <w:spacing w:line="360" w:lineRule="auto"/>
        <w:widowControl w:val="off"/>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693"/>
        <w:pageBreakBefore w:val="0"/>
        <w:spacing w:before="0" w:after="0" w:line="360" w:lineRule="auto"/>
        <w:widowControl w:val="off"/>
        <w:rPr>
          <w:rFonts w:ascii="黑体" w:hAnsi="黑体" w:eastAsia="黑体"/>
          <w:b w:val="0"/>
          <w:lang w:eastAsia="zh-CN"/>
        </w:rPr>
      </w:pPr>
      <w:r>
        <w:rPr>
          <w:rFonts w:hint="eastAsia" w:ascii="黑体" w:hAnsi="黑体" w:eastAsia="黑体"/>
          <w:b w:val="0"/>
          <w:lang w:eastAsia="zh-CN"/>
        </w:rPr>
        <w:t xml:space="preserve">七、授予合同</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30、履约保证金</w:t>
      </w:r>
      <w:r/>
    </w:p>
    <w:p>
      <w:pPr>
        <w:ind w:firstLine="480"/>
        <w:jc w:val="left"/>
        <w:pageBreakBefore w:val="0"/>
        <w:spacing w:line="360" w:lineRule="auto"/>
        <w:widowControl w:val="off"/>
        <w:rPr>
          <w:sz w:val="24"/>
          <w:szCs w:val="24"/>
        </w:rPr>
      </w:pPr>
      <w:r>
        <w:rPr>
          <w:rFonts w:hint="eastAsia"/>
          <w:sz w:val="24"/>
          <w:szCs w:val="24"/>
        </w:rPr>
        <w:t xml:space="preserve">30.1 </w:t>
      </w:r>
      <w:r>
        <w:rPr>
          <w:rFonts w:hint="eastAsia"/>
          <w:sz w:val="24"/>
          <w:szCs w:val="24"/>
        </w:rPr>
        <w:t xml:space="preserve"> 本项目履约保证金要求详见招标文件第四章</w:t>
      </w:r>
      <w:r>
        <w:rPr>
          <w:rFonts w:hint="eastAsia"/>
          <w:sz w:val="24"/>
          <w:szCs w:val="24"/>
          <w:lang w:val="en-US" w:eastAsia="zh-CN"/>
        </w:rPr>
        <w:t xml:space="preserve"> </w:t>
      </w:r>
      <w:r>
        <w:rPr>
          <w:rFonts w:hint="eastAsia"/>
          <w:sz w:val="24"/>
          <w:szCs w:val="24"/>
        </w:rPr>
        <w:t xml:space="preserve">采购需求。</w:t>
      </w:r>
      <w:r>
        <w:rPr>
          <w:sz w:val="24"/>
          <w:szCs w:val="24"/>
        </w:rPr>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31、签订合同</w:t>
      </w:r>
      <w:r/>
    </w:p>
    <w:p>
      <w:pPr>
        <w:ind w:firstLine="480"/>
        <w:jc w:val="left"/>
        <w:pageBreakBefore w:val="0"/>
        <w:spacing w:line="360" w:lineRule="auto"/>
        <w:widowControl w:val="off"/>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pageBreakBefore w:val="0"/>
        <w:spacing w:line="360" w:lineRule="auto"/>
        <w:widowControl w:val="off"/>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pageBreakBefore w:val="0"/>
        <w:spacing w:line="360" w:lineRule="auto"/>
        <w:widowControl w:val="off"/>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32、合同标的的追加</w:t>
      </w:r>
      <w:r/>
    </w:p>
    <w:p>
      <w:pPr>
        <w:ind w:firstLine="480"/>
        <w:jc w:val="left"/>
        <w:pageBreakBefore w:val="0"/>
        <w:spacing w:line="360" w:lineRule="auto"/>
        <w:widowControl w:val="off"/>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33、政府采购履约资金扶持政策</w:t>
      </w:r>
      <w:r/>
    </w:p>
    <w:p>
      <w:pPr>
        <w:ind w:firstLine="480"/>
        <w:jc w:val="left"/>
        <w:pageBreakBefore w:val="0"/>
        <w:spacing w:line="360" w:lineRule="auto"/>
        <w:widowControl w:val="off"/>
        <w:rPr>
          <w:sz w:val="24"/>
          <w:szCs w:val="24"/>
        </w:rPr>
      </w:pPr>
      <w:r>
        <w:rPr>
          <w:rFonts w:hint="eastAsia"/>
          <w:sz w:val="24"/>
          <w:szCs w:val="24"/>
        </w:rPr>
        <w:t xml:space="preserve">33.1 中标人可凭政府采购合同办理融资贷款，详情请见江苏政府采购网“政采贷”专栏。</w:t>
      </w:r>
      <w:r/>
    </w:p>
    <w:p>
      <w:pPr>
        <w:pStyle w:val="693"/>
        <w:pageBreakBefore w:val="0"/>
        <w:spacing w:before="0" w:after="0" w:line="360" w:lineRule="auto"/>
        <w:widowControl w:val="off"/>
        <w:rPr>
          <w:rFonts w:ascii="黑体" w:hAnsi="黑体" w:eastAsia="黑体"/>
          <w:b w:val="0"/>
          <w:lang w:eastAsia="zh-CN"/>
        </w:rPr>
      </w:pPr>
      <w:r>
        <w:rPr>
          <w:rFonts w:hint="eastAsia" w:ascii="黑体" w:hAnsi="黑体" w:eastAsia="黑体"/>
          <w:b w:val="0"/>
          <w:lang w:eastAsia="zh-CN"/>
        </w:rPr>
        <w:t xml:space="preserve">八、询问与质疑</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34、询问</w:t>
      </w:r>
      <w:r/>
    </w:p>
    <w:p>
      <w:pPr>
        <w:ind w:firstLine="480"/>
        <w:jc w:val="left"/>
        <w:pageBreakBefore w:val="0"/>
        <w:spacing w:line="360" w:lineRule="auto"/>
        <w:widowControl w:val="off"/>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35、质疑提出</w:t>
      </w:r>
      <w:r/>
    </w:p>
    <w:p>
      <w:pPr>
        <w:ind w:firstLine="480"/>
        <w:jc w:val="left"/>
        <w:pageBreakBefore w:val="0"/>
        <w:spacing w:line="360" w:lineRule="auto"/>
        <w:widowControl w:val="off"/>
        <w:rPr>
          <w:sz w:val="24"/>
          <w:szCs w:val="24"/>
        </w:rPr>
      </w:pPr>
      <w:r>
        <w:rPr>
          <w:rFonts w:hint="eastAsia"/>
          <w:sz w:val="24"/>
          <w:szCs w:val="24"/>
        </w:rPr>
        <w:t xml:space="preserve">35.1 提出质疑的供应商应当是参与所质疑项目采购活动的供应商。</w:t>
      </w:r>
      <w:r/>
    </w:p>
    <w:p>
      <w:pPr>
        <w:ind w:firstLine="480"/>
        <w:jc w:val="left"/>
        <w:pageBreakBefore w:val="0"/>
        <w:spacing w:line="360" w:lineRule="auto"/>
        <w:widowControl w:val="off"/>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pageBreakBefore w:val="0"/>
        <w:spacing w:line="360" w:lineRule="auto"/>
        <w:widowControl w:val="off"/>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pageBreakBefore w:val="0"/>
        <w:spacing w:line="360" w:lineRule="auto"/>
        <w:widowControl w:val="off"/>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widowControl w:val="off"/>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pageBreakBefore w:val="0"/>
        <w:spacing w:line="360" w:lineRule="auto"/>
        <w:widowControl w:val="off"/>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pageBreakBefore w:val="0"/>
        <w:spacing w:line="360" w:lineRule="auto"/>
        <w:widowControl w:val="off"/>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pageBreakBefore w:val="0"/>
        <w:spacing w:line="360" w:lineRule="auto"/>
        <w:widowControl w:val="off"/>
        <w:rPr>
          <w:sz w:val="24"/>
          <w:szCs w:val="24"/>
        </w:rPr>
      </w:pPr>
      <w:r>
        <w:rPr>
          <w:rFonts w:hint="eastAsia"/>
          <w:sz w:val="24"/>
          <w:szCs w:val="24"/>
        </w:rPr>
        <w:t xml:space="preserve">（1）供应商的姓名或者名称、地址、邮编、联系人及联系电话；</w:t>
      </w:r>
      <w:r/>
    </w:p>
    <w:p>
      <w:pPr>
        <w:ind w:firstLine="480"/>
        <w:jc w:val="left"/>
        <w:pageBreakBefore w:val="0"/>
        <w:spacing w:line="360" w:lineRule="auto"/>
        <w:widowControl w:val="off"/>
        <w:rPr>
          <w:sz w:val="24"/>
          <w:szCs w:val="24"/>
        </w:rPr>
      </w:pPr>
      <w:r>
        <w:rPr>
          <w:rFonts w:hint="eastAsia"/>
          <w:sz w:val="24"/>
          <w:szCs w:val="24"/>
        </w:rPr>
        <w:t xml:space="preserve">（2）质疑项目的名称、编号；</w:t>
      </w:r>
      <w:r/>
    </w:p>
    <w:p>
      <w:pPr>
        <w:ind w:firstLine="480"/>
        <w:jc w:val="left"/>
        <w:pageBreakBefore w:val="0"/>
        <w:spacing w:line="360" w:lineRule="auto"/>
        <w:widowControl w:val="off"/>
        <w:rPr>
          <w:sz w:val="24"/>
          <w:szCs w:val="24"/>
        </w:rPr>
      </w:pPr>
      <w:r>
        <w:rPr>
          <w:rFonts w:hint="eastAsia"/>
          <w:sz w:val="24"/>
          <w:szCs w:val="24"/>
        </w:rPr>
        <w:t xml:space="preserve">（3）具体、明确的质疑事项和与质疑事项相关的请求；</w:t>
      </w:r>
      <w:r/>
    </w:p>
    <w:p>
      <w:pPr>
        <w:ind w:firstLine="480"/>
        <w:jc w:val="left"/>
        <w:pageBreakBefore w:val="0"/>
        <w:spacing w:line="360" w:lineRule="auto"/>
        <w:widowControl w:val="off"/>
        <w:rPr>
          <w:sz w:val="24"/>
          <w:szCs w:val="24"/>
        </w:rPr>
      </w:pPr>
      <w:r>
        <w:rPr>
          <w:rFonts w:hint="eastAsia"/>
          <w:sz w:val="24"/>
          <w:szCs w:val="24"/>
        </w:rPr>
        <w:t xml:space="preserve">（4）事实依据；</w:t>
      </w:r>
      <w:r/>
    </w:p>
    <w:p>
      <w:pPr>
        <w:ind w:firstLine="480"/>
        <w:jc w:val="left"/>
        <w:pageBreakBefore w:val="0"/>
        <w:spacing w:line="360" w:lineRule="auto"/>
        <w:widowControl w:val="off"/>
        <w:rPr>
          <w:sz w:val="24"/>
          <w:szCs w:val="24"/>
        </w:rPr>
      </w:pPr>
      <w:r>
        <w:rPr>
          <w:rFonts w:hint="eastAsia"/>
          <w:sz w:val="24"/>
          <w:szCs w:val="24"/>
        </w:rPr>
        <w:t xml:space="preserve">（5）必要的法律依据；</w:t>
      </w:r>
      <w:r/>
    </w:p>
    <w:p>
      <w:pPr>
        <w:ind w:firstLine="480"/>
        <w:jc w:val="left"/>
        <w:pageBreakBefore w:val="0"/>
        <w:spacing w:line="360" w:lineRule="auto"/>
        <w:widowControl w:val="off"/>
        <w:rPr>
          <w:sz w:val="24"/>
          <w:szCs w:val="24"/>
        </w:rPr>
      </w:pPr>
      <w:r>
        <w:rPr>
          <w:rFonts w:hint="eastAsia"/>
          <w:sz w:val="24"/>
          <w:szCs w:val="24"/>
        </w:rPr>
        <w:t xml:space="preserve">（6）提出质疑的日期；</w:t>
      </w:r>
      <w:r/>
    </w:p>
    <w:p>
      <w:pPr>
        <w:ind w:firstLine="480"/>
        <w:jc w:val="left"/>
        <w:pageBreakBefore w:val="0"/>
        <w:spacing w:line="360" w:lineRule="auto"/>
        <w:widowControl w:val="off"/>
        <w:rPr>
          <w:sz w:val="24"/>
          <w:szCs w:val="24"/>
        </w:rPr>
      </w:pPr>
      <w:r>
        <w:rPr>
          <w:rFonts w:hint="eastAsia"/>
          <w:sz w:val="24"/>
          <w:szCs w:val="24"/>
        </w:rPr>
        <w:t xml:space="preserve">（7）必要的证明材料；</w:t>
      </w:r>
      <w:r/>
    </w:p>
    <w:p>
      <w:pPr>
        <w:ind w:firstLine="480"/>
        <w:jc w:val="left"/>
        <w:pageBreakBefore w:val="0"/>
        <w:spacing w:line="360" w:lineRule="auto"/>
        <w:widowControl w:val="off"/>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pageBreakBefore w:val="0"/>
        <w:spacing w:line="360" w:lineRule="auto"/>
        <w:widowControl w:val="off"/>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94"/>
        <w:ind w:firstLine="562"/>
        <w:jc w:val="left"/>
        <w:pageBreakBefore w:val="0"/>
        <w:spacing w:before="0" w:after="0" w:line="360" w:lineRule="auto"/>
        <w:widowControl w:val="off"/>
        <w:rPr>
          <w:sz w:val="24"/>
          <w:szCs w:val="24"/>
          <w:lang w:eastAsia="zh-CN"/>
        </w:rPr>
      </w:pPr>
      <w:r>
        <w:rPr>
          <w:rFonts w:hint="eastAsia"/>
          <w:sz w:val="28"/>
          <w:szCs w:val="28"/>
          <w:lang w:eastAsia="zh-CN"/>
        </w:rPr>
        <w:t xml:space="preserve">36、质疑函的受理和答复</w:t>
      </w:r>
      <w:r/>
    </w:p>
    <w:p>
      <w:pPr>
        <w:ind w:firstLine="480"/>
        <w:jc w:val="left"/>
        <w:pageBreakBefore w:val="0"/>
        <w:spacing w:line="360" w:lineRule="auto"/>
        <w:widowControl w:val="off"/>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pageBreakBefore w:val="0"/>
        <w:spacing w:line="360" w:lineRule="auto"/>
        <w:widowControl w:val="off"/>
        <w:rPr>
          <w:sz w:val="24"/>
          <w:szCs w:val="24"/>
          <w:highlight w:val="none"/>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w:t>
      </w:r>
      <w:r>
        <w:rPr>
          <w:rFonts w:hint="eastAsia"/>
          <w:sz w:val="24"/>
          <w:szCs w:val="24"/>
          <w:highlight w:val="none"/>
        </w:rPr>
        <w:t xml:space="preserve">时提供必要的证明材料的，不利后果由质疑供应商自行承担。</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36.3 对不符合质疑要求的，采购人、交易中心有权要求其补充必要的证明材料，质疑供应商未在法定时间内补充必要的证明材料的，不利后果由质疑供应商自行承担。</w:t>
      </w:r>
      <w:r/>
    </w:p>
    <w:p>
      <w:pPr>
        <w:ind w:firstLine="480"/>
        <w:jc w:val="left"/>
        <w:pageBreakBefore w:val="0"/>
        <w:spacing w:line="360" w:lineRule="auto"/>
        <w:widowControl w:val="off"/>
        <w:rPr>
          <w:sz w:val="24"/>
          <w:szCs w:val="24"/>
        </w:rPr>
      </w:pPr>
      <w:r>
        <w:rPr>
          <w:rFonts w:hint="eastAsia"/>
          <w:sz w:val="24"/>
          <w:szCs w:val="24"/>
        </w:rPr>
        <w:t xml:space="preserve">36.4 以下情形的质疑依法不予受理：</w:t>
      </w:r>
      <w:r/>
    </w:p>
    <w:p>
      <w:pPr>
        <w:ind w:firstLine="480"/>
        <w:jc w:val="left"/>
        <w:pageBreakBefore w:val="0"/>
        <w:spacing w:line="360" w:lineRule="auto"/>
        <w:widowControl w:val="off"/>
        <w:rPr>
          <w:sz w:val="24"/>
          <w:szCs w:val="24"/>
        </w:rPr>
      </w:pPr>
      <w:r>
        <w:rPr>
          <w:rFonts w:hint="eastAsia"/>
          <w:sz w:val="24"/>
          <w:szCs w:val="24"/>
        </w:rPr>
        <w:t xml:space="preserve">（1）内容不符合《政府采购质疑和投诉办法》第十二条规定的质疑。</w:t>
      </w:r>
      <w:r/>
    </w:p>
    <w:p>
      <w:pPr>
        <w:ind w:firstLine="480"/>
        <w:jc w:val="left"/>
        <w:pageBreakBefore w:val="0"/>
        <w:spacing w:line="360" w:lineRule="auto"/>
        <w:widowControl w:val="off"/>
        <w:rPr>
          <w:sz w:val="24"/>
          <w:szCs w:val="24"/>
        </w:rPr>
      </w:pPr>
      <w:r>
        <w:rPr>
          <w:rFonts w:hint="eastAsia"/>
          <w:sz w:val="24"/>
          <w:szCs w:val="24"/>
        </w:rPr>
        <w:t xml:space="preserve">（2）超出政府采购法定期限的质疑。</w:t>
      </w:r>
      <w:r/>
    </w:p>
    <w:p>
      <w:pPr>
        <w:ind w:firstLine="480"/>
        <w:jc w:val="left"/>
        <w:pageBreakBefore w:val="0"/>
        <w:spacing w:line="360" w:lineRule="auto"/>
        <w:widowControl w:val="off"/>
        <w:rPr>
          <w:sz w:val="24"/>
          <w:szCs w:val="24"/>
        </w:rPr>
      </w:pPr>
      <w:r>
        <w:rPr>
          <w:rFonts w:hint="eastAsia"/>
          <w:sz w:val="24"/>
          <w:szCs w:val="24"/>
        </w:rPr>
        <w:t xml:space="preserve">（3）以传真、电子邮件等方式递交的非原件形式的质疑。</w:t>
      </w:r>
      <w:r/>
    </w:p>
    <w:p>
      <w:pPr>
        <w:ind w:firstLine="480"/>
        <w:jc w:val="left"/>
        <w:pageBreakBefore w:val="0"/>
        <w:spacing w:line="360" w:lineRule="auto"/>
        <w:widowControl w:val="off"/>
        <w:rPr>
          <w:sz w:val="24"/>
          <w:szCs w:val="24"/>
        </w:rPr>
      </w:pPr>
      <w:r>
        <w:rPr>
          <w:rFonts w:hint="eastAsia"/>
          <w:sz w:val="24"/>
          <w:szCs w:val="24"/>
        </w:rPr>
        <w:t xml:space="preserve">（4）未参与采购活动或在采购活动中自身权益未受到损害的供应商提出的质疑。</w:t>
      </w:r>
      <w:r/>
    </w:p>
    <w:p>
      <w:pPr>
        <w:ind w:firstLine="480"/>
        <w:jc w:val="left"/>
        <w:pageBreakBefore w:val="0"/>
        <w:spacing w:line="360" w:lineRule="auto"/>
        <w:widowControl w:val="off"/>
        <w:rPr>
          <w:sz w:val="24"/>
          <w:szCs w:val="24"/>
        </w:rPr>
      </w:pPr>
      <w:r>
        <w:rPr>
          <w:rFonts w:hint="eastAsia"/>
          <w:sz w:val="24"/>
          <w:szCs w:val="24"/>
        </w:rPr>
        <w:t xml:space="preserve">（5）供应商组成联合体，联合体中任何一方或多方未按要求签字（盖章）、加盖公章的质疑。</w:t>
      </w:r>
      <w:r/>
    </w:p>
    <w:p>
      <w:pPr>
        <w:ind w:firstLine="480"/>
        <w:jc w:val="left"/>
        <w:pageBreakBefore w:val="0"/>
        <w:spacing w:line="360" w:lineRule="auto"/>
        <w:widowControl w:val="off"/>
        <w:rPr>
          <w:sz w:val="24"/>
          <w:szCs w:val="24"/>
        </w:rPr>
      </w:pPr>
      <w:r>
        <w:rPr>
          <w:rFonts w:hint="eastAsia"/>
          <w:sz w:val="24"/>
          <w:szCs w:val="24"/>
        </w:rPr>
        <w:t xml:space="preserve">36.5 采购人、交易中心依法受理的质疑，将按照政府采购有关规定，在法定期限内作出答复。</w:t>
      </w:r>
      <w:r/>
    </w:p>
    <w:p>
      <w:pPr>
        <w:ind w:firstLine="480"/>
        <w:jc w:val="left"/>
        <w:pageBreakBefore w:val="0"/>
        <w:spacing w:line="360" w:lineRule="auto"/>
        <w:widowControl w:val="off"/>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pageBreakBefore w:val="0"/>
        <w:spacing w:line="360" w:lineRule="auto"/>
        <w:widowControl w:val="off"/>
        <w:rPr>
          <w:sz w:val="24"/>
          <w:szCs w:val="24"/>
        </w:rPr>
      </w:pPr>
      <w:r>
        <w:rPr>
          <w:rFonts w:hint="eastAsia"/>
          <w:sz w:val="24"/>
          <w:szCs w:val="24"/>
        </w:rPr>
        <w:t xml:space="preserve">36.7 未尽事宜，依照有关法律、法规执行。</w:t>
      </w:r>
      <w:r/>
    </w:p>
    <w:p>
      <w:pPr>
        <w:pStyle w:val="693"/>
        <w:pageBreakBefore w:val="0"/>
        <w:spacing w:before="0" w:after="0" w:line="360" w:lineRule="auto"/>
        <w:widowControl w:val="off"/>
        <w:rPr>
          <w:rFonts w:ascii="黑体" w:hAnsi="黑体" w:eastAsia="黑体"/>
          <w:b w:val="0"/>
          <w:lang w:eastAsia="zh-CN"/>
        </w:rPr>
      </w:pPr>
      <w:r>
        <w:rPr>
          <w:rFonts w:hint="eastAsia" w:ascii="黑体" w:hAnsi="黑体" w:eastAsia="黑体"/>
          <w:b w:val="0"/>
          <w:lang w:eastAsia="zh-CN"/>
        </w:rPr>
        <w:t xml:space="preserve">九、政府采购政策功能</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37、促进中小企业发展</w:t>
      </w:r>
      <w:r/>
    </w:p>
    <w:p>
      <w:pPr>
        <w:ind w:firstLine="480"/>
        <w:jc w:val="left"/>
        <w:pageBreakBefore w:val="0"/>
        <w:spacing w:line="360" w:lineRule="auto"/>
        <w:widowControl w:val="off"/>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pageBreakBefore w:val="0"/>
        <w:spacing w:line="360" w:lineRule="auto"/>
        <w:widowControl w:val="off"/>
        <w:rPr>
          <w:sz w:val="24"/>
          <w:szCs w:val="24"/>
        </w:rPr>
      </w:pPr>
      <w:r>
        <w:rPr>
          <w:rFonts w:hint="eastAsia"/>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pageBreakBefore w:val="0"/>
        <w:spacing w:line="360" w:lineRule="auto"/>
        <w:widowControl w:val="off"/>
        <w:rPr>
          <w:sz w:val="24"/>
          <w:szCs w:val="24"/>
        </w:rPr>
      </w:pPr>
      <w:r>
        <w:rPr>
          <w:rFonts w:hint="eastAsia"/>
          <w:sz w:val="24"/>
          <w:szCs w:val="24"/>
        </w:rPr>
        <w:t xml:space="preserve">37.3 参加本项目政府采购活动的供应商享受价格评审优惠的应当提供的材料：</w:t>
      </w:r>
      <w:r/>
    </w:p>
    <w:p>
      <w:pPr>
        <w:ind w:firstLine="480"/>
        <w:jc w:val="left"/>
        <w:pageBreakBefore w:val="0"/>
        <w:spacing w:line="360" w:lineRule="auto"/>
        <w:widowControl w:val="off"/>
        <w:rPr>
          <w:sz w:val="24"/>
          <w:szCs w:val="24"/>
        </w:rPr>
      </w:pPr>
      <w:r>
        <w:rPr>
          <w:rFonts w:hint="eastAsia"/>
          <w:sz w:val="24"/>
          <w:szCs w:val="24"/>
        </w:rPr>
        <w:t xml:space="preserve">（1）投标人提供的货物全部由小型企业、微型企业制造的，提供《中小企业声明函》（第六章投标文件格式）。</w:t>
      </w:r>
      <w:r/>
    </w:p>
    <w:p>
      <w:pPr>
        <w:ind w:firstLine="480"/>
        <w:jc w:val="left"/>
        <w:pageBreakBefore w:val="0"/>
        <w:spacing w:line="360" w:lineRule="auto"/>
        <w:widowControl w:val="off"/>
        <w:rPr>
          <w:sz w:val="24"/>
          <w:szCs w:val="24"/>
        </w:rPr>
      </w:pPr>
      <w:r>
        <w:rPr>
          <w:rFonts w:hint="eastAsia"/>
          <w:sz w:val="24"/>
          <w:szCs w:val="24"/>
        </w:rPr>
        <w:t xml:space="preserve">（2）符合《关于促进残疾人就业政府采购政策的通知》（财库〔2017〕141号）规定的条件并提供《残疾人福利性单位声明函》（第六章投标文件格式）的残疾人福利性单位视同小型、微型企业。</w:t>
      </w:r>
      <w:r/>
    </w:p>
    <w:p>
      <w:pPr>
        <w:ind w:firstLine="480"/>
        <w:jc w:val="left"/>
        <w:pageBreakBefore w:val="0"/>
        <w:spacing w:line="360" w:lineRule="auto"/>
        <w:widowControl w:val="off"/>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pageBreakBefore w:val="0"/>
        <w:spacing w:line="360" w:lineRule="auto"/>
        <w:widowControl w:val="off"/>
        <w:rPr>
          <w:sz w:val="24"/>
          <w:szCs w:val="24"/>
        </w:rPr>
      </w:pPr>
      <w:r>
        <w:rPr>
          <w:rFonts w:hint="eastAsia"/>
          <w:sz w:val="24"/>
          <w:szCs w:val="24"/>
        </w:rPr>
        <w:t xml:space="preserve">37.4 残疾人福利单位、监狱企业属于小型、微型企业的，不重复享受政策。</w:t>
      </w:r>
      <w:r/>
    </w:p>
    <w:p>
      <w:pPr>
        <w:ind w:firstLine="480"/>
        <w:jc w:val="left"/>
        <w:pageBreakBefore w:val="0"/>
        <w:spacing w:line="360" w:lineRule="auto"/>
        <w:widowControl w:val="off"/>
        <w:rPr>
          <w:sz w:val="24"/>
          <w:szCs w:val="24"/>
        </w:rPr>
      </w:pPr>
      <w:r>
        <w:rPr>
          <w:rFonts w:hint="eastAsia"/>
          <w:sz w:val="24"/>
          <w:szCs w:val="24"/>
        </w:rPr>
        <w:t xml:space="preserve">37.5 享受扶持政策获得政府采购合同的，小微型企业不得将合同分包给大中型企业，中型企业不得将合同分包给大型企业。</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38、支持绿色发展</w:t>
      </w:r>
      <w:r/>
    </w:p>
    <w:p>
      <w:pPr>
        <w:ind w:firstLine="480"/>
        <w:jc w:val="left"/>
        <w:pageBreakBefore w:val="0"/>
        <w:spacing w:line="360" w:lineRule="auto"/>
        <w:widowControl w:val="off"/>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pageBreakBefore w:val="0"/>
        <w:spacing w:line="360" w:lineRule="auto"/>
        <w:widowControl w:val="off"/>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pageBreakBefore w:val="0"/>
        <w:spacing w:line="360" w:lineRule="auto"/>
        <w:widowControl w:val="off"/>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694"/>
        <w:ind w:firstLine="562"/>
        <w:jc w:val="left"/>
        <w:pageBreakBefore w:val="0"/>
        <w:spacing w:before="0" w:after="0" w:line="360" w:lineRule="auto"/>
        <w:widowControl w:val="off"/>
        <w:rPr>
          <w:sz w:val="28"/>
          <w:szCs w:val="28"/>
          <w:lang w:eastAsia="zh-CN"/>
        </w:rPr>
      </w:pPr>
      <w:r>
        <w:rPr>
          <w:rFonts w:hint="eastAsia"/>
          <w:sz w:val="28"/>
          <w:szCs w:val="28"/>
          <w:lang w:eastAsia="zh-CN"/>
        </w:rPr>
        <w:t xml:space="preserve">39、政府采购需求标准</w:t>
      </w:r>
      <w:r/>
    </w:p>
    <w:p>
      <w:pPr>
        <w:ind w:firstLine="480"/>
        <w:jc w:val="left"/>
        <w:pageBreakBefore w:val="0"/>
        <w:spacing w:line="360" w:lineRule="auto"/>
        <w:widowControl w:val="off"/>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92"/>
        <w:jc w:val="center"/>
        <w:spacing w:before="156" w:after="156" w:line="360" w:lineRule="auto"/>
        <w:rPr>
          <w:rFonts w:ascii="黑体" w:hAnsi="黑体" w:eastAsia="黑体"/>
          <w:lang w:eastAsia="zh-CN"/>
        </w:rPr>
      </w:pPr>
      <w:r/>
      <w:bookmarkStart w:id="2" w:name="_Toc165205796"/>
      <w:r>
        <w:rPr>
          <w:rFonts w:hint="eastAsia" w:ascii="黑体" w:hAnsi="黑体" w:eastAsia="黑体"/>
          <w:lang w:eastAsia="zh-CN"/>
        </w:rPr>
        <w:t xml:space="preserve">第三章  合同文本</w:t>
      </w:r>
      <w:bookmarkEnd w:id="2"/>
      <w:r/>
      <w:r/>
    </w:p>
    <w:p>
      <w:pPr>
        <w:pStyle w:val="707"/>
        <w:jc w:val="center"/>
        <w:spacing w:after="0"/>
        <w:rPr>
          <w:rFonts w:ascii="宋体" w:hAnsi="宋体" w:cs="宋体"/>
          <w:b/>
          <w:bCs/>
          <w:spacing w:val="-20"/>
          <w:sz w:val="48"/>
          <w:szCs w:val="48"/>
          <w:lang w:eastAsia="zh-CN"/>
        </w:rPr>
      </w:pPr>
      <w:r/>
      <w:bookmarkStart w:id="3" w:name="_Toc3995"/>
      <w:r/>
      <w:r/>
    </w:p>
    <w:p>
      <w:pPr>
        <w:pStyle w:val="707"/>
        <w:jc w:val="center"/>
        <w:spacing w:after="0"/>
        <w:rPr>
          <w:rFonts w:ascii="宋体" w:hAnsi="宋体" w:cs="宋体"/>
          <w:b/>
          <w:bCs/>
          <w:spacing w:val="-20"/>
          <w:sz w:val="48"/>
          <w:szCs w:val="48"/>
          <w:lang w:eastAsia="zh-CN"/>
        </w:rPr>
      </w:pPr>
      <w:r>
        <w:rPr>
          <w:rFonts w:ascii="宋体" w:hAnsi="宋体" w:cs="宋体"/>
          <w:b/>
          <w:bCs/>
          <w:spacing w:val="-20"/>
          <w:sz w:val="48"/>
          <w:szCs w:val="48"/>
          <w:lang w:eastAsia="zh-CN"/>
        </w:rPr>
      </w:r>
      <w:r/>
    </w:p>
    <w:p>
      <w:pPr>
        <w:pStyle w:val="707"/>
        <w:jc w:val="center"/>
        <w:spacing w:after="0"/>
        <w:rPr>
          <w:rFonts w:ascii="宋体" w:hAnsi="宋体" w:cs="宋体"/>
          <w:b/>
          <w:bCs/>
          <w:spacing w:val="-20"/>
          <w:sz w:val="48"/>
          <w:szCs w:val="48"/>
          <w:lang w:eastAsia="zh-CN"/>
        </w:rPr>
      </w:pPr>
      <w:r>
        <w:rPr>
          <w:rFonts w:ascii="宋体" w:hAnsi="宋体" w:cs="宋体"/>
          <w:b/>
          <w:bCs/>
          <w:spacing w:val="-20"/>
          <w:sz w:val="48"/>
          <w:szCs w:val="48"/>
          <w:lang w:eastAsia="zh-CN"/>
        </w:rPr>
      </w:r>
      <w:r/>
    </w:p>
    <w:p>
      <w:pPr>
        <w:pStyle w:val="707"/>
        <w:jc w:val="center"/>
        <w:spacing w:after="0"/>
        <w:rPr>
          <w:rFonts w:ascii="宋体" w:hAnsi="宋体" w:cs="宋体"/>
          <w:b/>
          <w:bCs/>
          <w:spacing w:val="-20"/>
          <w:sz w:val="48"/>
          <w:szCs w:val="48"/>
          <w:lang w:eastAsia="zh-CN"/>
        </w:rPr>
      </w:pPr>
      <w:r>
        <w:rPr>
          <w:rFonts w:ascii="宋体" w:hAnsi="宋体" w:cs="宋体"/>
          <w:b/>
          <w:bCs/>
          <w:spacing w:val="-20"/>
          <w:sz w:val="48"/>
          <w:szCs w:val="48"/>
          <w:lang w:eastAsia="zh-CN"/>
        </w:rPr>
      </w:r>
      <w:r/>
    </w:p>
    <w:p>
      <w:pPr>
        <w:pStyle w:val="707"/>
        <w:jc w:val="center"/>
        <w:spacing w:after="0"/>
        <w:rPr>
          <w:rFonts w:ascii="宋体" w:hAnsi="宋体" w:cs="宋体"/>
          <w:b/>
          <w:bCs/>
          <w:spacing w:val="-20"/>
          <w:sz w:val="48"/>
          <w:szCs w:val="48"/>
          <w:lang w:eastAsia="zh-CN"/>
        </w:rPr>
      </w:pPr>
      <w:r>
        <w:rPr>
          <w:rFonts w:hint="eastAsia" w:ascii="宋体" w:hAnsi="宋体" w:cs="宋体"/>
          <w:b/>
          <w:bCs/>
          <w:spacing w:val="-20"/>
          <w:sz w:val="48"/>
          <w:szCs w:val="48"/>
          <w:lang w:eastAsia="zh-CN"/>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甲方：</w:t>
      </w:r>
      <w:r/>
    </w:p>
    <w:p>
      <w:pPr>
        <w:ind w:left="420"/>
        <w:spacing w:line="360" w:lineRule="auto"/>
        <w:rPr>
          <w:sz w:val="32"/>
          <w:szCs w:val="32"/>
          <w:u w:val="single"/>
        </w:rPr>
      </w:pPr>
      <w:r>
        <w:rPr>
          <w:rFonts w:hint="eastAsia"/>
          <w:sz w:val="32"/>
          <w:szCs w:val="32"/>
        </w:rPr>
        <w:t xml:space="preserve">乙方：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rPr>
      </w:pPr>
      <w:r/>
      <w:bookmarkStart w:id="4" w:name="_Toc22209"/>
      <w:r>
        <w:rPr>
          <w:rFonts w:ascii="黑体" w:hAnsi="黑体" w:eastAsia="黑体"/>
          <w:b/>
          <w:bCs/>
          <w:sz w:val="28"/>
          <w:szCs w:val="28"/>
        </w:rPr>
        <w:br w:type="page" w:clear="all"/>
      </w:r>
      <w:r/>
    </w:p>
    <w:p>
      <w:pPr>
        <w:pStyle w:val="693"/>
        <w:jc w:val="center"/>
        <w:spacing w:line="400" w:lineRule="exact"/>
        <w:rPr>
          <w:rFonts w:ascii="黑体" w:hAnsi="华文中宋" w:eastAsia="黑体"/>
          <w:b w:val="0"/>
          <w:bCs w:val="0"/>
          <w:sz w:val="28"/>
          <w:szCs w:val="28"/>
          <w:lang w:eastAsia="zh-CN"/>
        </w:rPr>
      </w:pPr>
      <w:r>
        <w:rPr>
          <w:rFonts w:hint="eastAsia" w:ascii="黑体" w:hAnsi="黑体" w:eastAsia="黑体"/>
          <w:b w:val="0"/>
          <w:bCs w:val="0"/>
          <w:sz w:val="28"/>
          <w:szCs w:val="28"/>
          <w:lang w:eastAsia="zh-CN"/>
        </w:rPr>
        <w:t xml:space="preserve">第一节 </w:t>
      </w:r>
      <w:r>
        <w:rPr>
          <w:rFonts w:hint="eastAsia" w:ascii="黑体" w:hAnsi="华文中宋" w:eastAsia="黑体"/>
          <w:b w:val="0"/>
          <w:bCs w:val="0"/>
          <w:sz w:val="28"/>
          <w:szCs w:val="28"/>
          <w:lang w:eastAsia="zh-CN"/>
        </w:rPr>
        <w:t xml:space="preserve">政府采购合同协议书</w:t>
      </w:r>
      <w:bookmarkEnd w:id="4"/>
      <w:r/>
      <w:r/>
    </w:p>
    <w:p>
      <w:pPr>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乙方1（全称）：（供应商）</w:t>
      </w:r>
      <w:r/>
    </w:p>
    <w:p>
      <w:pPr>
        <w:spacing w:line="400" w:lineRule="exact"/>
        <w:rPr>
          <w:rFonts w:ascii="宋体" w:hAnsi="宋体"/>
          <w:szCs w:val="21"/>
        </w:rPr>
      </w:pPr>
      <w:r>
        <w:rPr>
          <w:rFonts w:hint="eastAsia" w:ascii="宋体" w:hAnsi="宋体"/>
          <w:szCs w:val="21"/>
        </w:rPr>
        <w:t xml:space="preserve">乙方2（全称）：（联合体成员供应商或其他合同主体）（如有）</w:t>
      </w:r>
      <w:r/>
    </w:p>
    <w:p>
      <w:pPr>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p>
    <w:p>
      <w:pPr>
        <w:spacing w:line="400" w:lineRule="exact"/>
        <w:rPr>
          <w:rFonts w:ascii="宋体" w:hAnsi="宋体"/>
        </w:rPr>
      </w:pPr>
      <w:r>
        <w:rPr>
          <w:rFonts w:ascii="宋体" w:hAnsi="宋体"/>
        </w:rPr>
      </w:r>
      <w:r/>
    </w:p>
    <w:p>
      <w:pPr>
        <w:pStyle w:val="708"/>
        <w:ind w:left="0" w:firstLine="400"/>
        <w:jc w:val="left"/>
        <w:spacing w:after="0" w:line="400" w:lineRule="exact"/>
        <w:rPr>
          <w:rFonts w:ascii="宋体" w:hAnsi="宋体"/>
          <w:szCs w:val="21"/>
        </w:rPr>
      </w:pPr>
      <w:r>
        <w:rPr>
          <w:rFonts w:hint="eastAsia" w:ascii="宋体" w:hAnsi="宋体"/>
          <w:szCs w:val="21"/>
          <w:lang w:eastAsia="zh-CN"/>
        </w:rPr>
        <w:t xml:space="preserve">依据《中华人民共和国民法典》、《中华人民共和国政府采购法》等有关的法律法规，以及本采购项目的招标文件等采购文件、乙方的《投标文件》及《中标通知书》，甲乙双方同意签订本合同。</w:t>
      </w:r>
      <w:r>
        <w:rPr>
          <w:rFonts w:hint="eastAsia" w:ascii="宋体" w:hAnsi="宋体"/>
          <w:szCs w:val="21"/>
        </w:rPr>
        <w:t xml:space="preserve">具体情况及要求如下：     </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p>
    <w:p>
      <w:pPr>
        <w:pStyle w:val="708"/>
        <w:jc w:val="left"/>
        <w:spacing w:after="0" w:line="400" w:lineRule="exact"/>
        <w:rPr>
          <w:rFonts w:ascii="宋体" w:hAnsi="宋体"/>
          <w:szCs w:val="21"/>
          <w:u w:val="single"/>
        </w:rPr>
      </w:pPr>
      <w:r>
        <w:rPr>
          <w:rFonts w:hint="eastAsia" w:ascii="宋体" w:hAnsi="宋体"/>
          <w:szCs w:val="21"/>
        </w:rPr>
        <w:t xml:space="preserve">（1）采购项目名称：</w:t>
      </w:r>
      <w:r/>
    </w:p>
    <w:p>
      <w:pPr>
        <w:pStyle w:val="708"/>
        <w:ind w:left="0" w:firstLine="900"/>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708"/>
        <w:ind w:left="0" w:firstLine="40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szCs w:val="21"/>
        </w:rPr>
      </w:pPr>
      <w:r>
        <w:rPr>
          <w:rFonts w:hint="eastAsia" w:ascii="宋体" w:hAnsi="宋体"/>
          <w:szCs w:val="21"/>
        </w:rPr>
        <w:t xml:space="preserve">（3）项目内容：</w:t>
      </w:r>
      <w:r/>
    </w:p>
    <w:p>
      <w:pPr>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p>
    <w:p>
      <w:pPr>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p>
    <w:p>
      <w:pPr>
        <w:ind w:firstLine="945"/>
        <w:jc w:val="left"/>
        <w:spacing w:line="400" w:lineRule="exact"/>
        <w:rPr>
          <w:rFonts w:ascii="宋体" w:hAnsi="宋体" w:cs="宋体"/>
          <w:szCs w:val="21"/>
        </w:rPr>
      </w:pPr>
      <w:r>
        <w:rPr>
          <w:rFonts w:hint="eastAsia" w:ascii="宋体" w:hAnsi="宋体" w:cs="宋体"/>
          <w:szCs w:val="21"/>
        </w:rPr>
        <w:t xml:space="preserve">标的名称：</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rPr>
      </w:pPr>
      <w:r>
        <w:rPr>
          <w:rFonts w:hint="eastAsia" w:ascii="宋体" w:hAnsi="宋体" w:cs="宋体"/>
        </w:rPr>
        <w:t xml:space="preserve">关键部件：    品牌：    型号：</w:t>
      </w:r>
      <w:r/>
    </w:p>
    <w:p>
      <w:pPr>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912"/>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912"/>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p>
    <w:p>
      <w:pPr>
        <w:pStyle w:val="912"/>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p>
    <w:p>
      <w:pPr>
        <w:pStyle w:val="912"/>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12"/>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12"/>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p>
    <w:p>
      <w:pPr>
        <w:pStyle w:val="912"/>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912"/>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szCs w:val="21"/>
          <w:u w:val="single"/>
        </w:rPr>
      </w:pPr>
      <w:r>
        <w:rPr>
          <w:rFonts w:hint="eastAsia" w:ascii="宋体" w:hAnsi="宋体"/>
          <w:szCs w:val="21"/>
        </w:rPr>
        <w:t xml:space="preserve">分包主要内容：</w:t>
      </w:r>
      <w:r/>
    </w:p>
    <w:p>
      <w:pPr>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p>
    <w:p>
      <w:pPr>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p>
    <w:p>
      <w:pPr>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12"/>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p>
    <w:p>
      <w:pPr>
        <w:ind w:firstLine="945"/>
        <w:jc w:val="left"/>
        <w:spacing w:line="400" w:lineRule="exact"/>
        <w:rPr>
          <w:rFonts w:ascii="宋体" w:hAnsi="宋体"/>
          <w:szCs w:val="21"/>
        </w:rPr>
      </w:pPr>
      <w:r>
        <w:rPr>
          <w:rFonts w:hint="eastAsia" w:ascii="宋体" w:hAnsi="宋体"/>
          <w:szCs w:val="21"/>
        </w:rPr>
        <w:t xml:space="preserve">国别：    品牌：    规格型号：</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是否涉及环境标志产品：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是否涉及绿色产品：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p>
    <w:p>
      <w:p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p>
    <w:p>
      <w:pPr>
        <w:ind w:firstLine="420"/>
        <w:jc w:val="left"/>
        <w:spacing w:line="400" w:lineRule="exact"/>
        <w:rPr>
          <w:rFonts w:ascii="宋体" w:hAnsi="宋体"/>
          <w:szCs w:val="21"/>
        </w:rPr>
      </w:pPr>
      <w:r>
        <w:rPr>
          <w:rFonts w:hint="eastAsia" w:ascii="宋体" w:hAnsi="宋体"/>
          <w:szCs w:val="21"/>
        </w:rPr>
        <w:t xml:space="preserve">（1）合同金额小写：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分包金额（如有）小写：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p>
    <w:p>
      <w:pPr>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p>
    <w:p>
      <w:pPr>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pStyle w:val="913"/>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p>
    <w:p>
      <w:pPr>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p>
    <w:p>
      <w:pPr>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12"/>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912"/>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cs="宋体"/>
        </w:rPr>
      </w:pPr>
      <w:r>
        <w:rPr>
          <w:rFonts w:hint="eastAsia" w:ascii="宋体" w:hAnsi="宋体" w:cs="宋体"/>
          <w:bCs/>
          <w:szCs w:val="21"/>
        </w:rPr>
        <w:t xml:space="preserve">履约担保期限：</w:t>
      </w:r>
      <w:r/>
    </w:p>
    <w:p>
      <w:pPr>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p>
    <w:p>
      <w:pPr>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p>
    <w:p>
      <w:pPr>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945"/>
        <w:jc w:val="left"/>
        <w:spacing w:line="400" w:lineRule="exact"/>
        <w:rPr>
          <w:rFonts w:ascii="宋体" w:hAnsi="宋体"/>
          <w:bCs/>
          <w:szCs w:val="21"/>
        </w:rPr>
      </w:pPr>
      <w:r>
        <w:rPr>
          <w:rFonts w:hint="eastAsia" w:ascii="宋体" w:hAnsi="宋体"/>
          <w:bCs/>
          <w:szCs w:val="21"/>
        </w:rPr>
        <w:t xml:space="preserve">验收主体：</w:t>
      </w:r>
      <w:r/>
    </w:p>
    <w:p>
      <w:pPr>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p>
    <w:p>
      <w:pPr>
        <w:ind w:firstLine="420"/>
        <w:jc w:val="left"/>
        <w:spacing w:line="400" w:lineRule="exact"/>
        <w:rPr>
          <w:rFonts w:ascii="宋体" w:hAnsi="宋体"/>
          <w:bCs/>
          <w:szCs w:val="21"/>
        </w:rPr>
      </w:pPr>
      <w:r>
        <w:rPr>
          <w:rFonts w:hint="eastAsia" w:ascii="宋体" w:hAnsi="宋体"/>
          <w:bCs/>
          <w:szCs w:val="21"/>
        </w:rPr>
        <w:t xml:space="preserve">（3）履约验收方式：</w:t>
      </w:r>
      <w:r/>
    </w:p>
    <w:p>
      <w:pPr>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p>
    <w:p>
      <w:pPr>
        <w:ind w:firstLine="420"/>
        <w:jc w:val="left"/>
        <w:spacing w:line="400" w:lineRule="exact"/>
        <w:rPr>
          <w:rFonts w:ascii="宋体" w:hAnsi="宋体"/>
          <w:bCs/>
          <w:szCs w:val="21"/>
        </w:rPr>
      </w:pPr>
      <w:r>
        <w:rPr>
          <w:rFonts w:hint="eastAsia" w:ascii="宋体" w:hAnsi="宋体"/>
          <w:bCs/>
          <w:szCs w:val="21"/>
        </w:rPr>
        <w:t xml:space="preserve">（4）履约验收程序：</w:t>
      </w:r>
      <w:r/>
    </w:p>
    <w:p>
      <w:pPr>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bCs/>
          <w:szCs w:val="21"/>
          <w:u w:val="single"/>
        </w:rPr>
      </w:pPr>
      <w:r>
        <w:rPr>
          <w:rFonts w:hint="eastAsia" w:ascii="宋体" w:hAnsi="宋体"/>
          <w:bCs/>
          <w:szCs w:val="21"/>
        </w:rPr>
        <w:t xml:space="preserve">（6）履约验收标准：</w:t>
      </w:r>
      <w:r/>
    </w:p>
    <w:p>
      <w:pPr>
        <w:pStyle w:val="912"/>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p>
    <w:p>
      <w:pPr>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jc w:val="left"/>
        <w:spacing w:line="400" w:lineRule="exact"/>
        <w:rPr>
          <w:rFonts w:ascii="宋体" w:hAnsi="宋体"/>
          <w:szCs w:val="21"/>
        </w:rPr>
      </w:pPr>
      <w:r>
        <w:rPr>
          <w:rFonts w:hint="eastAsia" w:ascii="宋体" w:hAnsi="宋体"/>
          <w:szCs w:val="21"/>
        </w:rPr>
        <w:t xml:space="preserve">（2）政府采购合同专用条款</w:t>
      </w:r>
      <w:r/>
    </w:p>
    <w:p>
      <w:pPr>
        <w:ind w:firstLine="420"/>
        <w:jc w:val="left"/>
        <w:spacing w:line="400" w:lineRule="exact"/>
        <w:rPr>
          <w:rFonts w:ascii="宋体" w:hAnsi="宋体"/>
          <w:szCs w:val="21"/>
        </w:rPr>
      </w:pPr>
      <w:r>
        <w:rPr>
          <w:rFonts w:hint="eastAsia" w:ascii="宋体" w:hAnsi="宋体"/>
          <w:szCs w:val="21"/>
        </w:rPr>
        <w:t xml:space="preserve">（3）政府采购合同通用条款</w:t>
      </w:r>
      <w:r/>
    </w:p>
    <w:p>
      <w:pPr>
        <w:ind w:firstLine="420"/>
        <w:jc w:val="left"/>
        <w:spacing w:line="400" w:lineRule="exact"/>
        <w:rPr>
          <w:rFonts w:ascii="宋体" w:hAnsi="宋体"/>
          <w:szCs w:val="21"/>
        </w:rPr>
      </w:pPr>
      <w:r>
        <w:rPr>
          <w:rFonts w:hint="eastAsia" w:ascii="宋体" w:hAnsi="宋体"/>
          <w:szCs w:val="21"/>
        </w:rPr>
        <w:t xml:space="preserve">（4）中标（成交）通知书</w:t>
      </w:r>
      <w:r/>
    </w:p>
    <w:p>
      <w:pPr>
        <w:ind w:firstLine="420"/>
        <w:jc w:val="left"/>
        <w:spacing w:line="400" w:lineRule="exact"/>
        <w:rPr>
          <w:rFonts w:ascii="宋体" w:hAnsi="宋体"/>
          <w:szCs w:val="21"/>
        </w:rPr>
      </w:pPr>
      <w:r>
        <w:rPr>
          <w:rFonts w:hint="eastAsia" w:ascii="宋体" w:hAnsi="宋体"/>
          <w:szCs w:val="21"/>
        </w:rPr>
        <w:t xml:space="preserve">（5）投标（响应）文件</w:t>
      </w:r>
      <w:r/>
    </w:p>
    <w:p>
      <w:pPr>
        <w:ind w:firstLine="420"/>
        <w:jc w:val="left"/>
        <w:spacing w:line="400" w:lineRule="exact"/>
        <w:rPr>
          <w:rFonts w:ascii="宋体" w:hAnsi="宋体"/>
          <w:szCs w:val="21"/>
        </w:rPr>
      </w:pPr>
      <w:r>
        <w:rPr>
          <w:rFonts w:hint="eastAsia" w:ascii="宋体" w:hAnsi="宋体"/>
          <w:szCs w:val="21"/>
        </w:rPr>
        <w:t xml:space="preserve">（6）采购文件</w:t>
      </w:r>
      <w:r/>
    </w:p>
    <w:p>
      <w:pPr>
        <w:ind w:firstLine="420"/>
        <w:jc w:val="left"/>
        <w:spacing w:line="400" w:lineRule="exact"/>
        <w:rPr>
          <w:rFonts w:ascii="宋体" w:hAnsi="宋体"/>
          <w:szCs w:val="21"/>
        </w:rPr>
      </w:pPr>
      <w:r>
        <w:rPr>
          <w:rFonts w:hint="eastAsia" w:ascii="宋体" w:hAnsi="宋体"/>
          <w:szCs w:val="21"/>
        </w:rPr>
        <w:t xml:space="preserve">（7）有关技术文件，图纸</w:t>
      </w:r>
      <w:r/>
    </w:p>
    <w:p>
      <w:pPr>
        <w:pStyle w:val="912"/>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p>
    <w:p>
      <w:pPr>
        <w:ind w:firstLine="420"/>
        <w:jc w:val="left"/>
        <w:spacing w:line="400" w:lineRule="exact"/>
        <w:rPr>
          <w:rFonts w:ascii="宋体" w:hAnsi="宋体"/>
          <w:szCs w:val="21"/>
        </w:rPr>
      </w:pPr>
      <w:r>
        <w:rPr>
          <w:rFonts w:hint="eastAsia" w:ascii="宋体" w:hAnsi="宋体"/>
          <w:szCs w:val="21"/>
        </w:rPr>
        <w:t xml:space="preserve">本合同自        生效。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p>
    <w:p>
      <w:pPr>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p>
    <w:p>
      <w:pPr>
        <w:ind w:firstLine="420"/>
        <w:jc w:val="left"/>
        <w:spacing w:line="400" w:lineRule="exact"/>
        <w:rPr>
          <w:rFonts w:ascii="宋体" w:hAnsi="宋体"/>
          <w:szCs w:val="21"/>
        </w:rPr>
      </w:pPr>
      <w:r>
        <w:rPr>
          <w:rFonts w:hint="eastAsia" w:ascii="宋体" w:hAnsi="宋体"/>
          <w:szCs w:val="21"/>
        </w:rPr>
        <w:t xml:space="preserve">合同订立时间：     年  月  日</w:t>
      </w:r>
      <w:r/>
    </w:p>
    <w:p>
      <w:pPr>
        <w:ind w:firstLine="420"/>
        <w:jc w:val="left"/>
        <w:spacing w:line="400" w:lineRule="exact"/>
        <w:rPr>
          <w:rFonts w:ascii="宋体" w:hAnsi="宋体"/>
          <w:szCs w:val="21"/>
        </w:rPr>
      </w:pPr>
      <w:r>
        <w:rPr>
          <w:rFonts w:hint="eastAsia" w:ascii="宋体" w:hAnsi="宋体"/>
          <w:szCs w:val="21"/>
        </w:rPr>
        <w:t xml:space="preserve">合同订立地点：</w:t>
      </w:r>
      <w:r/>
    </w:p>
    <w:p>
      <w:pPr>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p>
    <w:p>
      <w:r>
        <w:rPr>
          <w:rFonts w:hint="eastAsia"/>
        </w:rPr>
        <w:br w:type="page" w:clear="all"/>
      </w:r>
      <w:r/>
    </w:p>
    <w:p>
      <w:pPr>
        <w:pStyle w:val="913"/>
      </w:pPr>
      <w:r/>
      <w:r/>
    </w:p>
    <w:tbl>
      <w:tblPr>
        <w:tblStyle w:val="702"/>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000000" w:sz="2" w:space="0"/>
              <w:right w:val="single" w:color="000000" w:sz="2" w:space="0"/>
            </w:tcBorders>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cantSplit/>
          <w:jc w:val="center"/>
          <w:trHeight w:val="1171"/>
        </w:trPr>
        <w:tc>
          <w:tcPr>
            <w:tcBorders>
              <w:top w:val="single" w:color="000000" w:sz="2" w:space="0"/>
              <w:right w:val="single" w:color="000000" w:sz="2" w:space="0"/>
            </w:tcBorders>
            <w:tcW w:w="1891" w:type="dxa"/>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right w:val="single" w:color="000000" w:sz="2" w:space="0"/>
            </w:tcBorders>
            <w:tcW w:w="2412" w:type="dxa"/>
            <w:vAlign w:val="center"/>
            <w:vMerge w:val="restart"/>
            <w:textDirection w:val="lrTb"/>
            <w:noWrap w:val="false"/>
          </w:tcPr>
          <w:p>
            <w:pPr>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979"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zCs w:val="21"/>
              </w:rPr>
            </w:pPr>
            <w:r>
              <w:rPr>
                <w:szCs w:val="21"/>
              </w:rPr>
            </w:r>
            <w:r/>
          </w:p>
        </w:tc>
      </w:tr>
      <w:tr>
        <w:trPr>
          <w:cantSplit/>
          <w:jc w:val="center"/>
          <w:trHeight w:val="483"/>
        </w:trPr>
        <w:tc>
          <w:tcPr>
            <w:tcBorders>
              <w:bottom w:val="single" w:color="000000" w:sz="2" w:space="0"/>
              <w:right w:val="single" w:color="000000" w:sz="2" w:space="0"/>
            </w:tcBorders>
            <w:tcW w:w="1891" w:type="dxa"/>
            <w:vAlign w:val="center"/>
            <w:vMerge w:val="continue"/>
            <w:textDirection w:val="lrTb"/>
            <w:noWrap w:val="false"/>
          </w:tcPr>
          <w:p>
            <w:pPr>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2412" w:type="dxa"/>
            <w:vAlign w:val="center"/>
            <w:vMerge w:val="continue"/>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rFonts w:hint="eastAsia"/>
                <w:szCs w:val="21"/>
              </w:rPr>
              <w:t xml:space="preserve">住所</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szCs w:val="21"/>
              </w:rPr>
            </w:pPr>
            <w:r>
              <w:rPr>
                <w:szCs w:val="21"/>
              </w:rPr>
              <w:t xml:space="preserve">联系人</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szCs w:val="21"/>
              </w:rPr>
              <w:t xml:space="preserve">联系人</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cantSplit/>
          <w:jc w:val="center"/>
          <w:trHeight w:val="483"/>
        </w:trPr>
        <w:tc>
          <w:tcPr>
            <w:gridSpan w:val="2"/>
            <w:tcBorders>
              <w:top w:val="single" w:color="000000" w:sz="2" w:space="0"/>
              <w:right w:val="single" w:color="000000" w:sz="2" w:space="0"/>
            </w:tcBorders>
            <w:tcW w:w="4303" w:type="dxa"/>
            <w:vAlign w:val="center"/>
            <w:vMerge w:val="restart"/>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cantSplit/>
          <w:jc w:val="center"/>
          <w:trHeight w:val="483"/>
        </w:trPr>
        <w:tc>
          <w:tcPr>
            <w:gridSpan w:val="2"/>
            <w:tcBorders>
              <w:right w:val="single" w:color="000000" w:sz="2" w:space="0"/>
            </w:tcBorders>
            <w:tcW w:w="4303" w:type="dxa"/>
            <w:vAlign w:val="center"/>
            <w:vMerge w:val="continue"/>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cantSplit/>
          <w:jc w:val="center"/>
          <w:trHeight w:val="483"/>
        </w:trPr>
        <w:tc>
          <w:tcPr>
            <w:gridSpan w:val="2"/>
            <w:tcBorders>
              <w:bottom w:val="single" w:color="000000" w:sz="2" w:space="0"/>
              <w:right w:val="single" w:color="000000" w:sz="2" w:space="0"/>
            </w:tcBorders>
            <w:tcW w:w="4303" w:type="dxa"/>
            <w:vAlign w:val="center"/>
            <w:vMerge w:val="continue"/>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2116"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000000" w:sz="2" w:space="0"/>
            </w:tcBorders>
            <w:tcW w:w="8398" w:type="dxa"/>
            <w:vAlign w:val="center"/>
            <w:textDirection w:val="lrTb"/>
            <w:noWrap w:val="false"/>
          </w:tcPr>
          <w:p>
            <w:pPr>
              <w:pStyle w:val="708"/>
              <w:ind w:left="0"/>
              <w:jc w:val="left"/>
              <w:spacing w:before="156" w:after="0" w:line="360" w:lineRule="auto"/>
              <w:rPr>
                <w:spacing w:val="20"/>
                <w:sz w:val="21"/>
                <w:szCs w:val="21"/>
                <w:lang w:eastAsia="zh-CN"/>
              </w:rPr>
            </w:pPr>
            <w:r>
              <w:rPr>
                <w:rFonts w:hint="eastAsia" w:ascii="宋体" w:hAnsi="宋体"/>
                <w:sz w:val="21"/>
                <w:szCs w:val="21"/>
                <w:lang w:eastAsia="zh-CN"/>
              </w:rPr>
              <w:t xml:space="preserve">注：涉及联合体或其他合同主体的信息应按上表格式加列。</w:t>
            </w:r>
            <w:r/>
          </w:p>
        </w:tc>
      </w:tr>
    </w:tbl>
    <w:p>
      <w:pPr>
        <w:pStyle w:val="693"/>
        <w:jc w:val="center"/>
        <w:spacing w:line="400" w:lineRule="exact"/>
        <w:rPr>
          <w:rFonts w:ascii="黑体" w:hAnsi="黑体" w:eastAsia="黑体"/>
          <w:sz w:val="28"/>
          <w:szCs w:val="28"/>
          <w:lang w:eastAsia="zh-CN"/>
        </w:rPr>
      </w:pPr>
      <w:r>
        <w:rPr>
          <w:rFonts w:ascii="宋体" w:hAnsi="宋体"/>
          <w:sz w:val="21"/>
          <w:szCs w:val="21"/>
          <w:u w:val="single"/>
          <w:lang w:eastAsia="zh-CN"/>
        </w:rPr>
        <w:br w:type="page" w:clear="all"/>
      </w:r>
      <w:bookmarkStart w:id="5" w:name="_Toc27624"/>
      <w:r>
        <w:rPr>
          <w:rFonts w:hint="eastAsia" w:ascii="黑体" w:hAnsi="黑体" w:eastAsia="黑体"/>
          <w:b w:val="0"/>
          <w:bCs w:val="0"/>
          <w:sz w:val="28"/>
          <w:szCs w:val="28"/>
          <w:lang w:eastAsia="zh-CN"/>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707"/>
        <w:ind w:firstLine="352"/>
        <w:spacing w:after="0" w:line="400" w:lineRule="exact"/>
        <w:rPr>
          <w:rFonts w:ascii="宋体" w:hAnsi="宋体" w:cs="宋体"/>
          <w:color w:val="000000"/>
          <w:szCs w:val="21"/>
          <w:lang w:eastAsia="zh-CN"/>
        </w:rPr>
      </w:pPr>
      <w:r>
        <w:rPr>
          <w:rFonts w:hint="eastAsia" w:ascii="宋体" w:hAnsi="宋体"/>
          <w:color w:val="000000"/>
          <w:szCs w:val="21"/>
          <w:lang w:eastAsia="zh-CN"/>
        </w:rPr>
        <w:t xml:space="preserve">5.</w:t>
      </w:r>
      <w:r>
        <w:rPr>
          <w:rFonts w:ascii="宋体" w:hAnsi="宋体"/>
          <w:color w:val="000000"/>
          <w:szCs w:val="21"/>
          <w:lang w:eastAsia="zh-CN"/>
        </w:rPr>
        <w:t xml:space="preserve">3</w:t>
      </w:r>
      <w:r>
        <w:rPr>
          <w:rFonts w:hint="eastAsia" w:ascii="宋体" w:hAnsi="宋体"/>
          <w:color w:val="000000"/>
          <w:szCs w:val="21"/>
          <w:lang w:eastAsia="zh-CN"/>
        </w:rPr>
        <w:t xml:space="preserve"> 乙方有权</w:t>
      </w:r>
      <w:r>
        <w:rPr>
          <w:rFonts w:hint="eastAsia" w:ascii="宋体" w:hAnsi="宋体" w:cs="宋体"/>
          <w:color w:val="000000"/>
          <w:szCs w:val="21"/>
          <w:lang w:eastAsia="zh-CN"/>
        </w:rPr>
        <w:t xml:space="preserve">根据合同约定向甲方收取合同价款。</w:t>
      </w:r>
      <w:r/>
    </w:p>
    <w:p>
      <w:pPr>
        <w:pStyle w:val="707"/>
        <w:ind w:firstLine="352"/>
        <w:spacing w:after="0" w:line="400" w:lineRule="exact"/>
        <w:rPr>
          <w:rFonts w:ascii="宋体" w:hAnsi="宋体" w:cs="宋体"/>
          <w:color w:val="000000"/>
          <w:szCs w:val="21"/>
          <w:lang w:eastAsia="zh-CN"/>
        </w:rPr>
      </w:pPr>
      <w:r>
        <w:rPr>
          <w:rFonts w:hint="eastAsia" w:ascii="宋体" w:hAnsi="宋体"/>
          <w:color w:val="000000"/>
          <w:szCs w:val="21"/>
          <w:lang w:eastAsia="zh-CN"/>
        </w:rPr>
        <w:t xml:space="preserve">5.</w:t>
      </w:r>
      <w:r>
        <w:rPr>
          <w:rFonts w:ascii="宋体" w:hAnsi="宋体"/>
          <w:color w:val="000000"/>
          <w:szCs w:val="21"/>
          <w:lang w:eastAsia="zh-CN"/>
        </w:rPr>
        <w:t xml:space="preserve">4</w:t>
      </w:r>
      <w:r>
        <w:rPr>
          <w:rFonts w:hint="eastAsia" w:ascii="宋体" w:hAnsi="宋体" w:cs="宋体"/>
          <w:color w:val="000000"/>
          <w:szCs w:val="21"/>
          <w:lang w:eastAsia="zh-CN"/>
        </w:rPr>
        <w:t xml:space="preserve">国家法律法规规定</w:t>
      </w:r>
      <w:r>
        <w:rPr>
          <w:rFonts w:hint="eastAsia" w:ascii="宋体" w:hAnsi="宋体"/>
          <w:color w:val="000000"/>
          <w:szCs w:val="21"/>
          <w:lang w:eastAsia="zh-CN"/>
        </w:rPr>
        <w:t xml:space="preserve">及</w:t>
      </w:r>
      <w:r>
        <w:rPr>
          <w:rFonts w:hint="eastAsia" w:ascii="宋体" w:hAnsi="宋体" w:cs="宋体"/>
          <w:b/>
          <w:bCs/>
          <w:szCs w:val="21"/>
          <w:lang w:eastAsia="zh-CN"/>
        </w:rPr>
        <w:t xml:space="preserve">【政府采购合同专用条款】</w:t>
      </w:r>
      <w:r>
        <w:rPr>
          <w:rFonts w:hint="eastAsia" w:ascii="宋体" w:hAnsi="宋体" w:cs="宋体"/>
          <w:szCs w:val="21"/>
          <w:lang w:eastAsia="zh-CN"/>
        </w:rPr>
        <w:t xml:space="preserve">约定应</w:t>
      </w:r>
      <w:r>
        <w:rPr>
          <w:rFonts w:hint="eastAsia" w:ascii="宋体" w:hAnsi="宋体" w:cs="宋体"/>
          <w:color w:val="000000"/>
          <w:szCs w:val="21"/>
          <w:lang w:eastAsia="zh-CN"/>
        </w:rPr>
        <w:t xml:space="preserve">由乙方承担的其他义务和责任。</w:t>
      </w:r>
      <w:r/>
    </w:p>
    <w:p>
      <w:pPr>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12"/>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11"/>
        <w:ind w:firstLine="400"/>
        <w:jc w:val="left"/>
        <w:spacing w:line="400" w:lineRule="exact"/>
        <w:rPr>
          <w:rFonts w:hAnsi="宋体"/>
          <w:b/>
          <w:lang w:eastAsia="zh-CN"/>
        </w:rPr>
      </w:pPr>
      <w:r>
        <w:rPr>
          <w:rFonts w:hint="eastAsia" w:hAnsi="宋体"/>
          <w:lang w:eastAsia="zh-CN"/>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11"/>
        <w:ind w:firstLine="400"/>
        <w:jc w:val="left"/>
        <w:spacing w:line="400" w:lineRule="exact"/>
        <w:rPr>
          <w:rFonts w:hAnsi="宋体"/>
          <w:lang w:eastAsia="zh-CN"/>
        </w:rPr>
      </w:pPr>
      <w:r>
        <w:rPr>
          <w:rFonts w:hint="eastAsia" w:hAnsi="宋体"/>
          <w:lang w:eastAsia="zh-CN"/>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07"/>
        <w:spacing w:after="0" w:line="400" w:lineRule="exact"/>
        <w:rPr>
          <w:rFonts w:ascii="宋体" w:hAnsi="宋体"/>
          <w:b/>
          <w:bCs/>
          <w:sz w:val="24"/>
          <w:szCs w:val="24"/>
          <w:lang w:eastAsia="zh-CN"/>
        </w:rPr>
      </w:pPr>
      <w:r>
        <w:rPr>
          <w:rFonts w:hint="eastAsia" w:ascii="宋体" w:hAnsi="宋体"/>
          <w:b/>
          <w:bCs/>
          <w:sz w:val="24"/>
          <w:szCs w:val="24"/>
          <w:lang w:eastAsia="zh-CN"/>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1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12"/>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12"/>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12"/>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91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1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1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07"/>
        <w:ind w:firstLine="400"/>
        <w:spacing w:after="0" w:line="400" w:lineRule="exact"/>
        <w:rPr>
          <w:lang w:eastAsia="zh-CN"/>
        </w:rPr>
      </w:pPr>
      <w:r>
        <w:rPr>
          <w:rFonts w:ascii="宋体" w:hAnsi="宋体"/>
          <w:szCs w:val="21"/>
          <w:lang w:eastAsia="zh-CN"/>
        </w:rPr>
        <w:t xml:space="preserve">2</w:t>
      </w:r>
      <w:r>
        <w:rPr>
          <w:rFonts w:hint="eastAsia" w:ascii="宋体" w:hAnsi="宋体"/>
          <w:szCs w:val="21"/>
          <w:lang w:eastAsia="zh-CN"/>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91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1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12"/>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12"/>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693"/>
        <w:jc w:val="center"/>
        <w:spacing w:line="400" w:lineRule="exact"/>
        <w:rPr>
          <w:rFonts w:ascii="黑体" w:hAnsi="华文中宋" w:eastAsia="黑体"/>
          <w:b w:val="0"/>
          <w:bCs w:val="0"/>
          <w:sz w:val="28"/>
          <w:szCs w:val="28"/>
          <w:lang w:eastAsia="zh-CN"/>
        </w:rPr>
      </w:pPr>
      <w:r>
        <w:rPr>
          <w:rFonts w:hint="eastAsia" w:ascii="黑体" w:hAnsi="华文中宋" w:eastAsia="黑体"/>
          <w:b w:val="0"/>
          <w:bCs w:val="0"/>
          <w:sz w:val="28"/>
          <w:szCs w:val="28"/>
          <w:lang w:eastAsia="zh-CN"/>
        </w:rPr>
        <w:t xml:space="preserve">第三节 政府采购合同专用条款</w:t>
      </w:r>
      <w:bookmarkEnd w:id="7"/>
      <w:r/>
      <w:r/>
    </w:p>
    <w:tbl>
      <w:tblPr>
        <w:tblStyle w:val="702"/>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cantSplit/>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cantSplit/>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12"/>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left"/>
        <w:widowControl/>
        <w:rPr>
          <w:rFonts w:ascii="宋体" w:hAnsi="宋体"/>
          <w:szCs w:val="21"/>
        </w:rPr>
      </w:pPr>
      <w:r>
        <w:rPr>
          <w:rFonts w:ascii="宋体" w:hAnsi="宋体"/>
          <w:szCs w:val="21"/>
        </w:rPr>
        <w:br w:type="page" w:clear="all"/>
      </w:r>
      <w:r/>
    </w:p>
    <w:p>
      <w:pPr>
        <w:pStyle w:val="692"/>
        <w:jc w:val="center"/>
        <w:spacing w:before="156" w:after="156" w:line="360" w:lineRule="auto"/>
        <w:rPr>
          <w:rFonts w:ascii="黑体" w:hAnsi="黑体" w:eastAsia="黑体"/>
        </w:rPr>
      </w:pPr>
      <w:r/>
      <w:bookmarkStart w:id="8" w:name="_Toc165205797"/>
      <w:r>
        <w:rPr>
          <w:rFonts w:hint="eastAsia" w:ascii="黑体" w:hAnsi="黑体" w:eastAsia="黑体"/>
        </w:rPr>
        <w:t xml:space="preserve">第四章  采购需求</w:t>
      </w:r>
      <w:bookmarkEnd w:id="8"/>
      <w:r/>
      <w:r/>
    </w:p>
    <w:p>
      <w:pPr>
        <w:ind w:firstLine="480"/>
        <w:jc w:val="left"/>
        <w:keepLines w:val="0"/>
        <w:keepNext w:val="0"/>
        <w:pageBreakBefore w:val="0"/>
        <w:spacing w:line="360" w:lineRule="auto"/>
        <w:widowControl w:val="off"/>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2"/>
        <w:jc w:val="left"/>
        <w:keepLines w:val="0"/>
        <w:keepNext w:val="0"/>
        <w:pageBreakBefore w:val="0"/>
        <w:spacing w:line="360" w:lineRule="auto"/>
        <w:widowControl w:val="off"/>
        <w:rPr>
          <w:sz w:val="24"/>
          <w:szCs w:val="24"/>
        </w:rPr>
      </w:pPr>
      <w:r>
        <w:rPr>
          <w:rFonts w:hint="eastAsia" w:cs="宋体"/>
          <w:b/>
          <w:color w:val="000000"/>
          <w:sz w:val="24"/>
          <w:szCs w:val="24"/>
          <w:highlight w:val="none"/>
          <w:shd w:val="clear" w:color="auto" w:fill="ffffff"/>
        </w:rPr>
        <w:t xml:space="preserve">根据《</w:t>
      </w:r>
      <w:r>
        <w:rPr>
          <w:rFonts w:hint="eastAsia" w:cs="宋体"/>
          <w:b/>
          <w:bCs/>
          <w:color w:val="000000"/>
          <w:sz w:val="24"/>
          <w:szCs w:val="24"/>
          <w:highlight w:val="none"/>
          <w:shd w:val="clear" w:color="auto" w:fill="ffffff"/>
        </w:rPr>
        <w:t xml:space="preserve">关于印发中小企业划型标准规定的通知</w:t>
      </w:r>
      <w:r>
        <w:rPr>
          <w:rFonts w:hint="eastAsia" w:cs="宋体"/>
          <w:b/>
          <w:color w:val="000000"/>
          <w:sz w:val="24"/>
          <w:szCs w:val="24"/>
          <w:highlight w:val="none"/>
          <w:shd w:val="clear" w:color="auto" w:fill="ffffff"/>
        </w:rPr>
        <w:t xml:space="preserve">》（工信部联企业〔</w:t>
      </w:r>
      <w:r>
        <w:rPr>
          <w:b/>
          <w:color w:val="000000"/>
          <w:sz w:val="24"/>
          <w:szCs w:val="24"/>
          <w:highlight w:val="none"/>
          <w:shd w:val="clear" w:color="auto" w:fill="ffffff"/>
        </w:rPr>
        <w:t xml:space="preserve">2011</w:t>
      </w:r>
      <w:r>
        <w:rPr>
          <w:rFonts w:hint="eastAsia" w:cs="宋体"/>
          <w:b/>
          <w:color w:val="000000"/>
          <w:sz w:val="24"/>
          <w:szCs w:val="24"/>
          <w:highlight w:val="none"/>
          <w:shd w:val="clear" w:color="auto" w:fill="ffffff"/>
        </w:rPr>
        <w:t xml:space="preserve">〕</w:t>
      </w:r>
      <w:r>
        <w:rPr>
          <w:b/>
          <w:color w:val="000000"/>
          <w:sz w:val="24"/>
          <w:szCs w:val="24"/>
          <w:highlight w:val="none"/>
          <w:shd w:val="clear" w:color="auto" w:fill="ffffff"/>
        </w:rPr>
        <w:t xml:space="preserve">300</w:t>
      </w:r>
      <w:r>
        <w:rPr>
          <w:rFonts w:hint="eastAsia" w:cs="宋体"/>
          <w:b/>
          <w:color w:val="000000"/>
          <w:sz w:val="24"/>
          <w:szCs w:val="24"/>
          <w:highlight w:val="none"/>
          <w:shd w:val="clear" w:color="auto" w:fill="ffffff"/>
        </w:rPr>
        <w:t xml:space="preserve">号）规定：</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行业划型标准：</w:t>
      </w:r>
      <w:r>
        <w:rPr>
          <w:rFonts w:hint="eastAsia"/>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keepLines w:val="0"/>
        <w:keepNext w:val="0"/>
        <w:pageBreakBefore w:val="0"/>
        <w:spacing w:line="360" w:lineRule="auto"/>
        <w:widowControl w:val="off"/>
        <w:rPr>
          <w:sz w:val="24"/>
          <w:szCs w:val="24"/>
        </w:rPr>
      </w:pPr>
      <w:r>
        <w:rPr>
          <w:rFonts w:hint="eastAsia"/>
          <w:sz w:val="24"/>
          <w:szCs w:val="24"/>
        </w:rPr>
        <w:t xml:space="preserve">1、根据《政府采购需求管理办法》等有关规定，采购人确定采购需求。</w:t>
      </w:r>
      <w:r/>
    </w:p>
    <w:p>
      <w:pPr>
        <w:pStyle w:val="730"/>
        <w:ind w:left="0" w:firstLine="480"/>
        <w:keepLines w:val="0"/>
        <w:keepNext w:val="0"/>
        <w:pageBreakBefore w:val="0"/>
        <w:spacing w:line="360" w:lineRule="auto"/>
        <w:widowControl w:val="off"/>
      </w:pPr>
      <w:r>
        <w:rPr>
          <w:rFonts w:hint="eastAsia"/>
          <w:sz w:val="24"/>
          <w:szCs w:val="24"/>
        </w:rPr>
        <w:t xml:space="preserve">2、</w:t>
      </w:r>
      <w:r>
        <w:rPr>
          <w:rFonts w:hint="eastAsia"/>
          <w:b w:val="0"/>
          <w:bCs/>
          <w:sz w:val="24"/>
          <w:szCs w:val="24"/>
        </w:rPr>
        <w:t xml:space="preserve">本招标文件中</w:t>
      </w:r>
      <w:r>
        <w:rPr>
          <w:rFonts w:hint="eastAsia"/>
          <w:b/>
          <w:i/>
          <w:iCs w:val="0"/>
          <w:color w:val="000000" w:themeColor="text1"/>
          <w:sz w:val="24"/>
          <w:szCs w:val="24"/>
          <w:u w:val="single"/>
          <w14:textFill>
            <w14:solidFill>
              <w14:schemeClr w14:val="tx1"/>
            </w14:solidFill>
          </w14:textFill>
        </w:rPr>
        <w:t xml:space="preserve">斜体且有下划线部分</w:t>
      </w:r>
      <w:r>
        <w:rPr>
          <w:rFonts w:hint="eastAsia"/>
          <w:b w:val="0"/>
          <w:bCs/>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p>
      <w:pPr>
        <w:pStyle w:val="730"/>
        <w:ind w:left="0" w:firstLine="0"/>
        <w:jc w:val="center"/>
      </w:pPr>
      <w:r>
        <w:rPr>
          <w:rFonts w:ascii="黑体" w:hAnsi="黑体" w:eastAsia="黑体"/>
          <w:color w:val="000000" w:themeColor="text1"/>
          <w:sz w:val="24"/>
          <w14:textFill>
            <w14:solidFill>
              <w14:schemeClr w14:val="tx1"/>
            </w14:solidFill>
          </w14:textFill>
        </w:rPr>
        <w:t xml:space="preserve">采购需求中须满足的实质性要求和条件</w:t>
      </w:r>
      <w:r/>
    </w:p>
    <w:tbl>
      <w:tblPr>
        <w:tblStyle w:val="702"/>
        <w:tblW w:w="8522" w:type="dxa"/>
        <w:jc w:val="center"/>
        <w:tblLayout w:type="fixed"/>
        <w:tblCellMar>
          <w:left w:w="128" w:type="dxa"/>
          <w:top w:w="64" w:type="dxa"/>
          <w:right w:w="128" w:type="dxa"/>
          <w:bottom w:w="64" w:type="dxa"/>
        </w:tblCellMar>
        <w:tblLook w:val="04A0" w:firstRow="1" w:lastRow="0" w:firstColumn="1" w:lastColumn="0" w:noHBand="0" w:noVBand="1"/>
      </w:tblPr>
      <w:tblGrid>
        <w:gridCol w:w="796"/>
        <w:gridCol w:w="7726"/>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360" w:lineRule="auto"/>
              <w:widowControl/>
              <w:rPr>
                <w:rFonts w:hint="eastAsia" w:ascii="Times New Roman" w:hAnsi="Times New Roman" w:eastAsia="宋体" w:cs="Times New Roman"/>
                <w:b w:val="0"/>
                <w:bCs w:val="0"/>
                <w:szCs w:val="21"/>
                <w:lang w:eastAsia="zh-CN"/>
              </w:rPr>
            </w:pPr>
            <w:r>
              <w:rPr>
                <w:rFonts w:hint="eastAsia" w:ascii="Times New Roman" w:hAnsi="Times New Roman" w:eastAsia="宋体" w:cs="Times New Roman"/>
                <w:b w:val="0"/>
                <w:bCs w:val="0"/>
                <w:szCs w:val="21"/>
                <w:lang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jc w:val="center"/>
              <w:spacing w:line="360" w:lineRule="auto"/>
              <w:widowControl/>
              <w:rPr>
                <w:rFonts w:hint="eastAsia" w:ascii="Times New Roman" w:hAnsi="Times New Roman" w:eastAsia="宋体" w:cs="Times New Roman"/>
                <w:b w:val="0"/>
                <w:bCs w:val="0"/>
                <w:szCs w:val="21"/>
                <w:lang w:eastAsia="zh-CN"/>
              </w:rPr>
            </w:pPr>
            <w:r>
              <w:rPr>
                <w:rFonts w:hint="eastAsia" w:ascii="Times New Roman" w:hAnsi="Times New Roman" w:eastAsia="宋体" w:cs="Times New Roman"/>
                <w:b w:val="0"/>
                <w:bCs w:val="0"/>
                <w:szCs w:val="21"/>
                <w:lang w:eastAsia="zh-CN"/>
              </w:rPr>
              <w:t xml:space="preserve">实质性要求和条件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360" w:lineRule="auto"/>
              <w:widowControl/>
              <w:rPr>
                <w:rFonts w:hint="eastAsia" w:ascii="宋体" w:hAnsi="Times New Roman" w:eastAsia="宋体" w:cs="Times New Roman"/>
                <w:b w:val="0"/>
                <w:bCs w:val="0"/>
                <w:sz w:val="24"/>
                <w:szCs w:val="21"/>
                <w:lang w:val="en-US" w:eastAsia="zh-CN"/>
              </w:rPr>
            </w:pPr>
            <w:r>
              <w:rPr>
                <w:rFonts w:hint="eastAsia" w:ascii="宋体" w:hAnsi="Times New Roman" w:eastAsia="宋体" w:cs="Times New Roman"/>
                <w:b w:val="0"/>
                <w:bCs w:val="0"/>
                <w:sz w:val="24"/>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jc w:val="left"/>
              <w:spacing w:line="360" w:lineRule="auto"/>
              <w:widowControl/>
              <w:rPr>
                <w:rFonts w:ascii="宋体" w:hAnsi="Times New Roman" w:eastAsia="宋体" w:cs="Times New Roman"/>
                <w:b w:val="0"/>
                <w:bCs w:val="0"/>
                <w:sz w:val="24"/>
                <w:szCs w:val="21"/>
              </w:rPr>
            </w:pPr>
            <w:r>
              <w:rPr>
                <w:rFonts w:hint="eastAsia" w:ascii="宋体" w:hAnsi="宋体" w:eastAsia="宋体" w:cs="宋体"/>
                <w:b w:val="0"/>
                <w:bCs w:val="0"/>
                <w:i/>
                <w:iCs/>
                <w:sz w:val="24"/>
                <w:szCs w:val="24"/>
                <w:u w:val="single"/>
                <w:lang w:eastAsia="zh-CN"/>
              </w:rPr>
              <w:t xml:space="preserve">三联水嘴：</w:t>
            </w:r>
            <w:r>
              <w:rPr>
                <w:rFonts w:hint="eastAsia" w:ascii="宋体" w:hAnsi="宋体" w:eastAsia="宋体" w:cs="宋体"/>
                <w:b w:val="0"/>
                <w:bCs w:val="0"/>
                <w:i/>
                <w:iCs/>
                <w:sz w:val="24"/>
                <w:szCs w:val="24"/>
                <w:u w:val="single"/>
                <w:lang w:val="en-US" w:eastAsia="zh-CN"/>
              </w:rPr>
              <w:t xml:space="preserve"> 投标文件中</w:t>
            </w:r>
            <w:r>
              <w:rPr>
                <w:rFonts w:hint="eastAsia" w:ascii="宋体" w:hAnsi="宋体" w:eastAsia="宋体" w:cs="宋体"/>
                <w:b w:val="0"/>
                <w:bCs w:val="0"/>
                <w:i/>
                <w:iCs/>
                <w:sz w:val="24"/>
                <w:szCs w:val="24"/>
                <w:u w:val="single"/>
                <w:lang w:eastAsia="zh-CN"/>
              </w:rPr>
              <w:t xml:space="preserve">提供节能（</w:t>
            </w:r>
            <w:r>
              <w:rPr>
                <w:rFonts w:hint="eastAsia" w:ascii="宋体" w:hAnsi="宋体" w:eastAsia="宋体" w:cs="宋体"/>
                <w:b w:val="0"/>
                <w:bCs w:val="0"/>
                <w:i/>
                <w:iCs/>
                <w:sz w:val="24"/>
                <w:szCs w:val="24"/>
                <w:u w:val="single"/>
                <w:lang w:eastAsia="zh-CN"/>
              </w:rPr>
              <w:t xml:space="preserve">节水）</w:t>
            </w:r>
            <w:r>
              <w:rPr>
                <w:rFonts w:hint="eastAsia" w:ascii="宋体" w:hAnsi="宋体" w:eastAsia="宋体" w:cs="宋体"/>
                <w:b w:val="0"/>
                <w:bCs w:val="0"/>
                <w:i/>
                <w:iCs/>
                <w:sz w:val="24"/>
                <w:szCs w:val="24"/>
                <w:u w:val="single"/>
                <w:lang w:eastAsia="zh-CN"/>
              </w:rPr>
              <w:t xml:space="preserve">证书扫描件并加盖投标人公章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360" w:lineRule="auto"/>
              <w:widowControl/>
              <w:rPr>
                <w:rFonts w:hint="eastAsia" w:ascii="宋体" w:hAnsi="Times New Roman" w:eastAsia="宋体" w:cs="Times New Roman"/>
                <w:b w:val="0"/>
                <w:bCs w:val="0"/>
                <w:sz w:val="24"/>
                <w:szCs w:val="21"/>
                <w:lang w:val="en-US" w:eastAsia="zh-CN"/>
              </w:rPr>
            </w:pPr>
            <w:r>
              <w:rPr>
                <w:rFonts w:hint="eastAsia" w:ascii="宋体" w:hAnsi="Times New Roman" w:eastAsia="宋体" w:cs="Times New Roman"/>
                <w:b w:val="0"/>
                <w:bCs w:val="0"/>
                <w:sz w:val="24"/>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jc w:val="left"/>
              <w:spacing w:line="360" w:lineRule="auto"/>
              <w:widowControl/>
              <w:rPr>
                <w:rFonts w:hint="eastAsia" w:ascii="宋体" w:hAnsi="宋体" w:eastAsia="宋体" w:cs="宋体"/>
                <w:b w:val="0"/>
                <w:bCs w:val="0"/>
                <w:i/>
                <w:iCs/>
                <w:sz w:val="24"/>
                <w:szCs w:val="24"/>
                <w:u w:val="single"/>
                <w:lang w:eastAsia="zh-CN"/>
              </w:rPr>
            </w:pPr>
            <w:r>
              <w:rPr>
                <w:rFonts w:hint="eastAsia" w:ascii="宋体" w:hAnsi="宋体" w:eastAsia="宋体" w:cs="宋体"/>
                <w:b w:val="0"/>
                <w:bCs w:val="0"/>
                <w:i/>
                <w:iCs/>
                <w:sz w:val="24"/>
                <w:szCs w:val="24"/>
                <w:u w:val="single"/>
                <w:lang w:eastAsia="zh-CN"/>
              </w:rPr>
              <w:t xml:space="preserve">交货期：合同签订后</w:t>
            </w:r>
            <w:r>
              <w:rPr>
                <w:rFonts w:hint="eastAsia" w:ascii="宋体" w:hAnsi="宋体" w:eastAsia="宋体" w:cs="宋体"/>
                <w:b w:val="0"/>
                <w:bCs w:val="0"/>
                <w:i/>
                <w:iCs/>
                <w:sz w:val="24"/>
                <w:szCs w:val="24"/>
                <w:u w:val="single"/>
                <w:lang w:val="en-US" w:eastAsia="zh-CN"/>
              </w:rPr>
              <w:t xml:space="preserve">40</w:t>
            </w:r>
            <w:r>
              <w:rPr>
                <w:rFonts w:hint="eastAsia" w:ascii="宋体" w:hAnsi="宋体" w:eastAsia="宋体" w:cs="宋体"/>
                <w:b w:val="0"/>
                <w:bCs w:val="0"/>
                <w:i/>
                <w:iCs/>
                <w:sz w:val="24"/>
                <w:szCs w:val="24"/>
                <w:u w:val="single"/>
                <w:lang w:eastAsia="zh-CN"/>
              </w:rPr>
              <w:t xml:space="preserve">天内完成安装调试，达到预期效果。</w:t>
            </w:r>
            <w:r>
              <w:rPr>
                <w:rFonts w:hint="eastAsia" w:ascii="宋体" w:hAnsi="宋体" w:eastAsia="宋体" w:cs="宋体"/>
                <w:b/>
                <w:bCs/>
                <w:i/>
                <w:iCs/>
                <w:sz w:val="24"/>
                <w:szCs w:val="24"/>
                <w:u w:val="single"/>
                <w:lang w:eastAsia="zh-CN"/>
              </w:rPr>
              <w:t xml:space="preserve">（投标文件中提供加盖投标人公章的承诺函，格式自拟，否则投标无效）</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360" w:lineRule="auto"/>
              <w:widowControl/>
              <w:rPr>
                <w:rFonts w:hint="eastAsia" w:ascii="宋体" w:hAnsi="Times New Roman" w:eastAsia="宋体" w:cs="Times New Roman"/>
                <w:b w:val="0"/>
                <w:bCs w:val="0"/>
                <w:sz w:val="24"/>
                <w:szCs w:val="21"/>
                <w:lang w:val="en-US" w:eastAsia="zh-CN"/>
              </w:rPr>
            </w:pPr>
            <w:r>
              <w:rPr>
                <w:rFonts w:hint="eastAsia" w:ascii="宋体" w:hAnsi="Times New Roman" w:eastAsia="宋体" w:cs="Times New Roman"/>
                <w:b w:val="0"/>
                <w:bCs w:val="0"/>
                <w:sz w:val="24"/>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jc w:val="left"/>
              <w:spacing w:line="360" w:lineRule="auto"/>
              <w:widowControl/>
              <w:rPr>
                <w:rFonts w:hint="eastAsia" w:ascii="宋体" w:hAnsi="宋体" w:eastAsia="宋体" w:cs="宋体"/>
                <w:b w:val="0"/>
                <w:bCs w:val="0"/>
                <w:i/>
                <w:iCs/>
                <w:sz w:val="24"/>
                <w:szCs w:val="24"/>
                <w:u w:val="single"/>
                <w:lang w:eastAsia="zh-CN"/>
              </w:rPr>
            </w:pPr>
            <w:r>
              <w:rPr>
                <w:rFonts w:hint="eastAsia" w:ascii="宋体" w:hAnsi="宋体" w:eastAsia="宋体" w:cs="宋体"/>
                <w:b w:val="0"/>
                <w:bCs w:val="0"/>
                <w:i/>
                <w:iCs/>
                <w:sz w:val="24"/>
                <w:szCs w:val="24"/>
                <w:u w:val="single"/>
                <w:lang w:eastAsia="zh-CN"/>
              </w:rPr>
              <w:t xml:space="preserve">中标人须在合同签订后</w:t>
            </w:r>
            <w:r>
              <w:rPr>
                <w:rFonts w:hint="eastAsia" w:ascii="宋体" w:hAnsi="宋体" w:eastAsia="宋体" w:cs="宋体"/>
                <w:b w:val="0"/>
                <w:bCs w:val="0"/>
                <w:i/>
                <w:iCs/>
                <w:sz w:val="24"/>
                <w:szCs w:val="24"/>
                <w:u w:val="single"/>
                <w:lang w:val="en-US" w:eastAsia="zh-CN"/>
              </w:rPr>
              <w:t xml:space="preserve">40</w:t>
            </w:r>
            <w:r>
              <w:rPr>
                <w:rFonts w:hint="eastAsia" w:ascii="宋体" w:hAnsi="宋体" w:eastAsia="宋体" w:cs="宋体"/>
                <w:b w:val="0"/>
                <w:bCs w:val="0"/>
                <w:i/>
                <w:iCs/>
                <w:sz w:val="24"/>
                <w:szCs w:val="24"/>
                <w:u w:val="single"/>
                <w:lang w:eastAsia="zh-CN"/>
              </w:rPr>
              <w:t xml:space="preserve">天内完成合同内软硬件的安装、调试、试运行等工作，由采购人单位按国家</w:t>
            </w:r>
            <w:r>
              <w:rPr>
                <w:rFonts w:hint="eastAsia" w:ascii="宋体" w:hAnsi="宋体" w:cs="宋体"/>
                <w:b w:val="0"/>
                <w:bCs w:val="0"/>
                <w:i/>
                <w:iCs/>
                <w:sz w:val="24"/>
                <w:szCs w:val="24"/>
                <w:u w:val="single"/>
                <w:lang w:eastAsia="zh-CN"/>
              </w:rPr>
              <w:t xml:space="preserve">、</w:t>
            </w:r>
            <w:r>
              <w:rPr>
                <w:rFonts w:hint="eastAsia" w:ascii="宋体" w:hAnsi="宋体" w:eastAsia="宋体" w:cs="宋体"/>
                <w:b w:val="0"/>
                <w:bCs w:val="0"/>
                <w:i/>
                <w:iCs/>
                <w:sz w:val="24"/>
                <w:szCs w:val="24"/>
                <w:u w:val="single"/>
                <w:lang w:eastAsia="zh-CN"/>
              </w:rPr>
              <w:t xml:space="preserve">行业标准和招标文件、投标文件及合同约定的技术参数及功能指标要求</w:t>
            </w:r>
            <w:r>
              <w:rPr>
                <w:rFonts w:hint="eastAsia" w:ascii="宋体" w:hAnsi="宋体" w:cs="宋体"/>
                <w:b w:val="0"/>
                <w:bCs w:val="0"/>
                <w:i/>
                <w:iCs/>
                <w:sz w:val="24"/>
                <w:szCs w:val="24"/>
                <w:u w:val="single"/>
                <w:lang w:val="en-US" w:eastAsia="zh-CN"/>
              </w:rPr>
              <w:t xml:space="preserve">对设备</w:t>
            </w:r>
            <w:r>
              <w:rPr>
                <w:rFonts w:hint="eastAsia" w:ascii="宋体" w:hAnsi="宋体" w:eastAsia="宋体" w:cs="宋体"/>
                <w:b w:val="0"/>
                <w:bCs w:val="0"/>
                <w:i/>
                <w:iCs/>
                <w:sz w:val="24"/>
                <w:szCs w:val="24"/>
                <w:u w:val="single"/>
                <w:lang w:eastAsia="zh-CN"/>
              </w:rPr>
              <w:t xml:space="preserve">进行验收，并出具项目验收报告。对于中标人未按合同约定提供设备或服务的，采购人具有依法追究其违约责任的权利。</w:t>
            </w:r>
            <w:r>
              <w:rPr>
                <w:rFonts w:hint="eastAsia" w:ascii="宋体" w:hAnsi="宋体" w:eastAsia="宋体" w:cs="宋体"/>
                <w:b/>
                <w:bCs/>
                <w:i/>
                <w:iCs/>
                <w:sz w:val="24"/>
                <w:szCs w:val="24"/>
                <w:u w:val="single"/>
                <w:lang w:eastAsia="zh-CN"/>
              </w:rPr>
              <w:t xml:space="preserve">（投标文件中提供加盖投标人公章的承诺函，格式自拟，否则投标无效）</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360" w:lineRule="auto"/>
              <w:widowControl/>
              <w:rPr>
                <w:rFonts w:hint="eastAsia" w:ascii="宋体" w:hAnsi="Times New Roman" w:eastAsia="宋体" w:cs="Times New Roman"/>
                <w:b w:val="0"/>
                <w:bCs w:val="0"/>
                <w:sz w:val="24"/>
                <w:szCs w:val="21"/>
                <w:lang w:val="en-US" w:eastAsia="zh-CN"/>
              </w:rPr>
            </w:pPr>
            <w:r>
              <w:rPr>
                <w:rFonts w:hint="eastAsia" w:ascii="宋体" w:hAnsi="Times New Roman" w:eastAsia="宋体" w:cs="Times New Roman"/>
                <w:b w:val="0"/>
                <w:bCs w:val="0"/>
                <w:sz w:val="24"/>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jc w:val="left"/>
              <w:spacing w:line="360" w:lineRule="auto"/>
              <w:widowControl/>
              <w:rPr>
                <w:rFonts w:hint="eastAsia" w:ascii="宋体" w:hAnsi="宋体" w:eastAsia="宋体" w:cs="宋体"/>
                <w:b w:val="0"/>
                <w:bCs w:val="0"/>
                <w:i/>
                <w:iCs/>
                <w:sz w:val="24"/>
                <w:szCs w:val="24"/>
                <w:u w:val="single"/>
                <w:lang w:eastAsia="zh-CN"/>
              </w:rPr>
            </w:pPr>
            <w:r>
              <w:rPr>
                <w:rFonts w:hint="eastAsia" w:ascii="宋体" w:hAnsi="宋体" w:eastAsia="宋体" w:cs="宋体"/>
                <w:b w:val="0"/>
                <w:bCs w:val="0"/>
                <w:i/>
                <w:iCs/>
                <w:sz w:val="24"/>
                <w:szCs w:val="24"/>
                <w:u w:val="single"/>
                <w:lang w:eastAsia="zh-CN"/>
              </w:rPr>
              <w:t xml:space="preserve">质保期：不低于三年。</w:t>
            </w:r>
            <w:r>
              <w:rPr>
                <w:rFonts w:hint="eastAsia" w:ascii="宋体" w:hAnsi="宋体" w:eastAsia="宋体" w:cs="宋体"/>
                <w:b/>
                <w:bCs/>
                <w:i/>
                <w:iCs/>
                <w:sz w:val="24"/>
                <w:szCs w:val="24"/>
                <w:u w:val="single"/>
                <w:lang w:eastAsia="zh-CN"/>
              </w:rPr>
              <w:t xml:space="preserve">（投标文件中提供加盖投标人公章的承诺函，格式自拟，否则投标无效）</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spacing w:line="360" w:lineRule="auto"/>
              <w:widowControl/>
              <w:rPr>
                <w:rFonts w:hint="eastAsia" w:ascii="宋体" w:hAnsi="Times New Roman" w:eastAsia="宋体" w:cs="Times New Roman"/>
                <w:b w:val="0"/>
                <w:bCs w:val="0"/>
                <w:sz w:val="24"/>
                <w:szCs w:val="21"/>
                <w:lang w:val="en-US" w:eastAsia="zh-CN"/>
              </w:rPr>
            </w:pPr>
            <w:r>
              <w:rPr>
                <w:rFonts w:hint="eastAsia" w:ascii="宋体" w:hAnsi="Times New Roman" w:eastAsia="宋体" w:cs="Times New Roman"/>
                <w:b w:val="0"/>
                <w:bCs w:val="0"/>
                <w:sz w:val="24"/>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jc w:val="left"/>
              <w:spacing w:line="360" w:lineRule="auto"/>
              <w:widowControl/>
              <w:rPr>
                <w:rFonts w:hint="eastAsia" w:ascii="宋体" w:hAnsi="宋体" w:eastAsia="宋体" w:cs="宋体"/>
                <w:b w:val="0"/>
                <w:bCs w:val="0"/>
                <w:i/>
                <w:iCs/>
                <w:sz w:val="24"/>
                <w:szCs w:val="24"/>
                <w:u w:val="single"/>
                <w:lang w:eastAsia="zh-CN"/>
              </w:rPr>
            </w:pPr>
            <w:r>
              <w:rPr>
                <w:rFonts w:hint="eastAsia" w:ascii="宋体" w:hAnsi="宋体" w:eastAsia="宋体" w:cs="宋体"/>
                <w:b w:val="0"/>
                <w:bCs w:val="0"/>
                <w:i/>
                <w:iCs/>
                <w:sz w:val="24"/>
                <w:szCs w:val="24"/>
                <w:u w:val="single"/>
                <w:lang w:eastAsia="zh-CN"/>
              </w:rPr>
              <w:t xml:space="preserve">质保期间，中标人承担维修、保养、安检、调换、软件平台升级更新维护相关费用包含在预算内，采购方不再支付任何费用；对于采购方人为原因造成的故障，中标人只收取质保成本费用。</w:t>
            </w:r>
            <w:r>
              <w:rPr>
                <w:rFonts w:hint="eastAsia" w:ascii="宋体" w:hAnsi="宋体" w:eastAsia="宋体" w:cs="宋体"/>
                <w:b/>
                <w:bCs/>
                <w:i/>
                <w:iCs/>
                <w:sz w:val="24"/>
                <w:szCs w:val="24"/>
                <w:u w:val="single"/>
                <w:lang w:eastAsia="zh-CN"/>
              </w:rPr>
              <w:t xml:space="preserve">（投标文件中提供加盖投标人公章的承诺函，格式自拟，否则投标无效）</w:t>
            </w:r>
            <w:r/>
          </w:p>
        </w:tc>
      </w:tr>
    </w:tbl>
    <w:p>
      <w:pPr>
        <w:ind w:firstLine="480"/>
        <w:jc w:val="left"/>
        <w:keepLines w:val="0"/>
        <w:keepNext w:val="0"/>
        <w:pageBreakBefore w:val="0"/>
        <w:spacing w:line="360" w:lineRule="auto"/>
        <w:widowControl w:val="off"/>
        <w:rPr>
          <w:rFonts w:hint="eastAsia"/>
          <w:sz w:val="24"/>
          <w:szCs w:val="24"/>
        </w:rPr>
      </w:pPr>
      <w:r>
        <w:rPr>
          <w:rFonts w:hint="eastAsia"/>
          <w:sz w:val="24"/>
          <w:szCs w:val="24"/>
        </w:rPr>
      </w:r>
      <w:r/>
    </w:p>
    <w:p>
      <w:pPr>
        <w:ind w:firstLine="480"/>
        <w:jc w:val="left"/>
        <w:spacing w:line="500" w:lineRule="exact"/>
        <w:rPr>
          <w:sz w:val="24"/>
          <w:szCs w:val="24"/>
        </w:rPr>
      </w:pPr>
      <w:r>
        <w:rPr>
          <w:rFonts w:hint="eastAsia"/>
          <w:sz w:val="24"/>
          <w:szCs w:val="24"/>
        </w:rPr>
        <w:t xml:space="preserve">3、本项目核心产品为：</w:t>
      </w:r>
      <w:r>
        <w:rPr>
          <w:rFonts w:hint="eastAsia"/>
          <w:b/>
          <w:bCs/>
          <w:sz w:val="24"/>
          <w:szCs w:val="24"/>
          <w:u w:val="single"/>
          <w:lang w:val="en-US" w:eastAsia="zh-CN"/>
        </w:rPr>
        <w:t xml:space="preserve">学生实验桌</w:t>
      </w:r>
      <w:r>
        <w:rPr>
          <w:rFonts w:hint="eastAsia"/>
          <w:sz w:val="24"/>
          <w:szCs w:val="24"/>
        </w:rPr>
        <w:t xml:space="preserve">。</w:t>
      </w:r>
      <w:r/>
    </w:p>
    <w:p>
      <w:pPr>
        <w:jc w:val="left"/>
        <w:rPr>
          <w:rFonts w:ascii="MS Mincho"/>
          <w:color w:val="000000"/>
          <w:szCs w:val="24"/>
        </w:rPr>
      </w:pPr>
      <w:r>
        <w:rPr>
          <w:rFonts w:ascii="MS Mincho"/>
          <w:color w:val="000000"/>
          <w:szCs w:val="24"/>
        </w:rPr>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p>
    <w:p>
      <w:pPr>
        <w:ind w:firstLine="480"/>
        <w:jc w:val="left"/>
        <w:spacing w:line="360" w:lineRule="auto"/>
        <w:rPr>
          <w:rFonts w:ascii="宋体" w:hAnsi="宋体"/>
          <w:color w:val="000000"/>
          <w:sz w:val="24"/>
          <w:szCs w:val="24"/>
        </w:rPr>
      </w:pPr>
      <w:r>
        <w:rPr>
          <w:rFonts w:hint="eastAsia" w:ascii="Times New Roman" w:hAnsi="Times New Roman"/>
          <w:sz w:val="24"/>
          <w:szCs w:val="24"/>
        </w:rPr>
        <w:t xml:space="preserve">本项目</w:t>
      </w:r>
      <w:r>
        <w:rPr>
          <w:rFonts w:hint="eastAsia" w:ascii="Times New Roman" w:hAnsi="Times New Roman"/>
          <w:sz w:val="24"/>
          <w:szCs w:val="24"/>
        </w:rPr>
        <w:t xml:space="preserve">采购</w:t>
      </w:r>
      <w:r>
        <w:rPr>
          <w:rFonts w:hint="eastAsia" w:ascii="Times New Roman" w:hAnsi="Times New Roman"/>
          <w:sz w:val="24"/>
          <w:szCs w:val="24"/>
        </w:rPr>
        <w:t xml:space="preserve">包括但不限于学生实验桌、教师演示台、学生凳子、智慧仪器、</w:t>
      </w:r>
      <w:r>
        <w:rPr>
          <w:rFonts w:hint="eastAsia" w:ascii="Times New Roman" w:hAnsi="Times New Roman"/>
          <w:sz w:val="24"/>
          <w:szCs w:val="24"/>
          <w:lang w:val="en-US" w:eastAsia="zh-CN"/>
        </w:rPr>
        <w:t xml:space="preserve">生物仪器柜</w:t>
      </w:r>
      <w:r>
        <w:rPr>
          <w:rFonts w:hint="eastAsia" w:ascii="Times New Roman" w:hAnsi="Times New Roman"/>
          <w:sz w:val="24"/>
          <w:szCs w:val="24"/>
        </w:rPr>
        <w:t xml:space="preserve">等货物的供货、运输、安装、调试等</w:t>
      </w:r>
      <w:r>
        <w:rPr>
          <w:rFonts w:ascii="Times New Roman" w:hAnsi="Times New Roman"/>
          <w:sz w:val="24"/>
          <w:szCs w:val="24"/>
        </w:rPr>
        <w:t xml:space="preserve">。</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p>
    <w:tbl>
      <w:tblPr>
        <w:tblStyle w:val="702"/>
        <w:tblW w:w="84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99"/>
        <w:gridCol w:w="3117"/>
        <w:gridCol w:w="749"/>
        <w:gridCol w:w="749"/>
        <w:gridCol w:w="3117"/>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b/>
                <w:i w:val="0"/>
                <w:iCs w:val="0"/>
                <w:color w:val="000000"/>
                <w:sz w:val="24"/>
                <w:szCs w:val="22"/>
                <w:u w:val="none"/>
              </w:rPr>
              <w:suppressLineNumbers w:val="0"/>
            </w:pPr>
            <w:r/>
            <w:bookmarkStart w:id="9" w:name="_Toc139967216"/>
            <w:r/>
            <w:bookmarkStart w:id="10" w:name="_Toc139966432"/>
            <w:r>
              <w:rPr>
                <w:rFonts w:hint="eastAsia" w:ascii="宋体" w:hAnsi="宋体" w:eastAsia="宋体" w:cs="宋体"/>
                <w:b/>
                <w:i w:val="0"/>
                <w:iCs w:val="0"/>
                <w:color w:val="000000"/>
                <w:sz w:val="24"/>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Helvetica"/>
                <w:b/>
                <w:bCs/>
                <w:sz w:val="24"/>
                <w:szCs w:val="32"/>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b/>
                <w:i w:val="0"/>
                <w:iCs w:val="0"/>
                <w:color w:val="000000"/>
                <w:sz w:val="24"/>
                <w:szCs w:val="24"/>
                <w:u w:val="none"/>
              </w:rPr>
              <w:suppressLineNumbers w:val="0"/>
            </w:pPr>
            <w:r>
              <w:rPr>
                <w:rFonts w:hint="eastAsia" w:ascii="宋体" w:hAnsi="宋体" w:eastAsia="宋体" w:cs="宋体"/>
                <w:b/>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default" w:ascii="宋体" w:hAnsi="宋体" w:eastAsia="宋体" w:cs="宋体"/>
                <w:b/>
                <w:i w:val="0"/>
                <w:iCs w:val="0"/>
                <w:color w:val="000000"/>
                <w:sz w:val="24"/>
                <w:szCs w:val="24"/>
                <w:u w:val="none"/>
                <w:lang w:val="en-US" w:eastAsia="zh-CN" w:bidi="ar"/>
              </w:rPr>
              <w:suppressLineNumbers w:val="0"/>
            </w:pPr>
            <w:r>
              <w:rPr>
                <w:rFonts w:hint="eastAsia" w:ascii="宋体" w:hAnsi="宋体" w:eastAsia="宋体" w:cs="宋体"/>
                <w:b/>
                <w:i w:val="0"/>
                <w:iCs w:val="0"/>
                <w:color w:val="000000"/>
                <w:sz w:val="24"/>
                <w:szCs w:val="24"/>
                <w:u w:val="none"/>
                <w:lang w:val="en-US" w:eastAsia="zh-CN" w:bidi="ar"/>
              </w:rPr>
              <w:t xml:space="preserve">所属行业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学生实验桌</w:t>
            </w:r>
            <w:r>
              <w:rPr>
                <w:rFonts w:hint="eastAsia" w:ascii="宋体" w:hAnsi="宋体" w:cs="宋体"/>
                <w:i w:val="0"/>
                <w:iCs w:val="0"/>
                <w:color w:val="000000"/>
                <w:sz w:val="24"/>
                <w:szCs w:val="24"/>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智能控制端</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温湿度探测系统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吊装主体框架</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智能摇臂升降系统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电源供应模块</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急停装置</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供电线路</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磨砂光板</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自动给排水系统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给排水接口</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给水管路</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排水管路</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吊装端头</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系统安装辅件</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氧气传感器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实验数据采集处理软件</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数据采集器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数据显示模块</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光照度传感器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相对湿度传感器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乙醇传感器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多量程电导率传感器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色度传感器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相对压强传感器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浑浊度传感器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密封实验套件</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多用途生化传感器支架</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教师数码显微镜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酸奶机</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val="false"/>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果酒果醋发酵装置</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keepLines w:val="0"/>
              <w:keepNext/>
              <w:widowControl/>
              <w:rPr>
                <w:rFonts w:hint="eastAsia" w:ascii="宋体" w:hAnsi="宋体" w:eastAsia="宋体" w:cs="宋体"/>
                <w:i w:val="0"/>
                <w:iCs w:val="0"/>
                <w:color w:val="000000"/>
                <w:sz w:val="24"/>
                <w:szCs w:val="22"/>
                <w:u w:val="none"/>
              </w:rPr>
              <w:suppressLineNumbers w:val="0"/>
            </w:pPr>
            <w:r>
              <w:rPr>
                <w:rFonts w:hint="eastAsia" w:ascii="宋体" w:hAnsi="宋体" w:eastAsia="宋体" w:cs="宋体"/>
                <w:i w:val="0"/>
                <w:iCs w:val="0"/>
                <w:color w:val="000000"/>
                <w:sz w:val="24"/>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pH传感器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17" w:type="dxa"/>
            <w:vAlign w:val="center"/>
            <w:textDirection w:val="lrTb"/>
            <w:noWrap/>
          </w:tcPr>
          <w:p>
            <w:pPr>
              <w:jc w:val="center"/>
              <w:keepLines w:val="0"/>
              <w:keepNex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bl>
    <w:p>
      <w:pPr>
        <w:ind w:firstLine="480"/>
        <w:jc w:val="left"/>
        <w:spacing w:line="360" w:lineRule="auto"/>
        <w:rPr>
          <w:rFonts w:ascii="宋体" w:hAnsi="宋体"/>
          <w:color w:val="000000"/>
          <w:sz w:val="24"/>
          <w:szCs w:val="24"/>
        </w:rPr>
      </w:pPr>
      <w:r>
        <w:rPr>
          <w:rFonts w:ascii="宋体" w:hAnsi="宋体"/>
          <w:color w:val="000000"/>
          <w:sz w:val="24"/>
          <w:szCs w:val="24"/>
        </w:rPr>
      </w:r>
      <w:r/>
    </w:p>
    <w:p>
      <w:pPr>
        <w:numPr>
          <w:ilvl w:val="0"/>
          <w:numId w:val="6"/>
        </w:numPr>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货物（标的）技术参数及功能指标</w:t>
      </w:r>
      <w:r/>
    </w:p>
    <w:tbl>
      <w:tblPr>
        <w:tblStyle w:val="702"/>
        <w:tblW w:w="92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49"/>
        <w:gridCol w:w="1413"/>
        <w:gridCol w:w="5163"/>
        <w:gridCol w:w="696"/>
        <w:gridCol w:w="652"/>
        <w:gridCol w:w="677"/>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bCs w:val="0"/>
                <w:i w:val="0"/>
                <w:iCs w:val="0"/>
                <w:color w:val="000000"/>
                <w:sz w:val="24"/>
                <w:szCs w:val="24"/>
                <w:u w:val="none"/>
              </w:rPr>
              <w:suppressLineNumbers w:val="0"/>
            </w:pPr>
            <w:r>
              <w:rPr>
                <w:rFonts w:hint="eastAsia" w:ascii="宋体" w:hAnsi="宋体" w:cs="宋体"/>
                <w:b/>
                <w:bCs w:val="0"/>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bCs w:val="0"/>
                <w:i w:val="0"/>
                <w:iCs w:val="0"/>
                <w:color w:val="000000"/>
                <w:sz w:val="24"/>
                <w:szCs w:val="24"/>
                <w:u w:val="none"/>
              </w:rPr>
              <w:suppressLineNumbers w:val="0"/>
            </w:pPr>
            <w:r>
              <w:rPr>
                <w:rFonts w:hint="eastAsia" w:ascii="宋体" w:hAnsi="宋体" w:eastAsia="宋体" w:cs="Helvetica"/>
                <w:b/>
                <w:bCs/>
                <w:sz w:val="24"/>
                <w:szCs w:val="32"/>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center"/>
              <w:keepLines w:val="0"/>
              <w:keepNext/>
              <w:widowControl/>
              <w:rPr>
                <w:rFonts w:hint="eastAsia" w:ascii="宋体" w:hAnsi="宋体" w:eastAsia="宋体" w:cs="宋体"/>
                <w:b/>
                <w:bCs w:val="0"/>
                <w:i w:val="0"/>
                <w:iCs w:val="0"/>
                <w:color w:val="000000"/>
                <w:sz w:val="24"/>
                <w:szCs w:val="24"/>
                <w:u w:val="none"/>
              </w:rPr>
              <w:suppressLineNumbers w:val="0"/>
            </w:pPr>
            <w:r>
              <w:rPr>
                <w:rFonts w:hint="eastAsia" w:ascii="宋体" w:hAnsi="宋体" w:cs="宋体"/>
                <w:b/>
                <w:bCs w:val="0"/>
                <w:i w:val="0"/>
                <w:iCs w:val="0"/>
                <w:color w:val="000000"/>
                <w:sz w:val="24"/>
                <w:szCs w:val="24"/>
                <w:u w:val="none"/>
                <w:lang w:val="en-US" w:eastAsia="zh-CN" w:bidi="ar"/>
              </w:rPr>
              <w:t xml:space="preserve">技术参数及功能指标</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bCs w:val="0"/>
                <w:i w:val="0"/>
                <w:iCs w:val="0"/>
                <w:color w:val="000000"/>
                <w:sz w:val="24"/>
                <w:szCs w:val="24"/>
                <w:u w:val="none"/>
              </w:rPr>
              <w:suppressLineNumbers w:val="0"/>
            </w:pPr>
            <w:r>
              <w:rPr>
                <w:rFonts w:hint="eastAsia" w:ascii="宋体" w:hAnsi="宋体" w:cs="宋体"/>
                <w:b/>
                <w:bCs w:val="0"/>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bCs w:val="0"/>
                <w:i w:val="0"/>
                <w:iCs w:val="0"/>
                <w:color w:val="000000"/>
                <w:sz w:val="24"/>
                <w:szCs w:val="24"/>
                <w:u w:val="none"/>
              </w:rPr>
              <w:suppressLineNumbers w:val="0"/>
            </w:pPr>
            <w:r>
              <w:rPr>
                <w:rFonts w:hint="eastAsia" w:ascii="宋体" w:hAnsi="宋体" w:cs="宋体"/>
                <w:b/>
                <w:bCs w:val="0"/>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default" w:ascii="宋体" w:hAnsi="宋体" w:cs="宋体"/>
                <w:b/>
                <w:bCs w:val="0"/>
                <w:i w:val="0"/>
                <w:iCs w:val="0"/>
                <w:color w:val="000000"/>
                <w:sz w:val="24"/>
                <w:szCs w:val="24"/>
                <w:u w:val="none"/>
                <w:lang w:val="en-US" w:eastAsia="zh-CN" w:bidi="ar"/>
              </w:rPr>
              <w:suppressLineNumbers w:val="0"/>
            </w:pPr>
            <w:r>
              <w:rPr>
                <w:rFonts w:hint="eastAsia" w:ascii="宋体" w:hAnsi="宋体" w:cs="宋体"/>
                <w:b/>
                <w:bCs w:val="0"/>
                <w:i w:val="0"/>
                <w:iCs w:val="0"/>
                <w:color w:val="000000"/>
                <w:sz w:val="24"/>
                <w:szCs w:val="24"/>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1、规格：2400×700×850mm（±</w:t>
            </w:r>
            <w:r>
              <w:rPr>
                <w:rFonts w:hint="eastAsia" w:ascii="宋体" w:hAnsi="宋体" w:cs="宋体"/>
                <w:b w:val="0"/>
                <w:bCs w:val="0"/>
                <w:i w:val="0"/>
                <w:iCs w:val="0"/>
                <w:color w:val="000000"/>
                <w:sz w:val="24"/>
                <w:szCs w:val="24"/>
                <w:u w:val="none"/>
                <w:lang w:val="en-US" w:eastAsia="zh-CN" w:bidi="ar"/>
              </w:rPr>
              <w:t xml:space="preserve">10</w:t>
            </w:r>
            <w:r>
              <w:rPr>
                <w:rFonts w:hint="eastAsia" w:ascii="宋体" w:hAnsi="宋体" w:eastAsia="宋体" w:cs="宋体"/>
                <w:b w:val="0"/>
                <w:bCs w:val="0"/>
                <w:i w:val="0"/>
                <w:iCs w:val="0"/>
                <w:color w:val="000000"/>
                <w:sz w:val="24"/>
                <w:szCs w:val="24"/>
                <w:u w:val="none"/>
                <w:lang w:val="en-US" w:eastAsia="zh-CN" w:bidi="ar"/>
              </w:rPr>
              <w:t xml:space="preserve">mm）</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2、台面：采用≥25mm厚金属树脂高能理化板</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3、结构：全钢独立柜体结构，无需安装；演示台设有储物柜，中间为演示台，设置电源主控系统、多媒体设备（主机、显示器、中控、功放、交换机）的位置预留。</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4、柜身主体背板、吊板及所有板材均采用采用</w:t>
            </w:r>
            <w:r>
              <w:rPr>
                <w:rFonts w:hint="eastAsia" w:ascii="宋体" w:hAnsi="宋体" w:cs="宋体"/>
                <w:b w:val="0"/>
                <w:bCs w:val="0"/>
                <w:i w:val="0"/>
                <w:iCs w:val="0"/>
                <w:color w:val="000000"/>
                <w:sz w:val="24"/>
                <w:szCs w:val="24"/>
                <w:u w:val="none"/>
                <w:lang w:val="en-US" w:eastAsia="zh-CN" w:bidi="ar"/>
              </w:rPr>
              <w:t xml:space="preserve">厚度</w:t>
            </w:r>
            <w:r>
              <w:rPr>
                <w:rFonts w:hint="eastAsia" w:ascii="宋体" w:hAnsi="宋体" w:eastAsia="宋体" w:cs="宋体"/>
                <w:b w:val="0"/>
                <w:bCs w:val="0"/>
                <w:i w:val="0"/>
                <w:iCs w:val="0"/>
                <w:color w:val="000000"/>
                <w:sz w:val="24"/>
                <w:szCs w:val="24"/>
                <w:u w:val="none"/>
                <w:lang w:val="en-US" w:eastAsia="zh-CN" w:bidi="ar"/>
              </w:rPr>
              <w:t xml:space="preserve">1.0</w:t>
            </w:r>
            <w:r>
              <w:rPr>
                <w:rFonts w:hint="eastAsia" w:ascii="宋体" w:hAnsi="宋体" w:cs="宋体"/>
                <w:b w:val="0"/>
                <w:bCs w:val="0"/>
                <w:i w:val="0"/>
                <w:iCs w:val="0"/>
                <w:color w:val="000000"/>
                <w:sz w:val="24"/>
                <w:szCs w:val="24"/>
                <w:u w:val="none"/>
                <w:lang w:val="en-US" w:eastAsia="zh-CN" w:bidi="ar"/>
              </w:rPr>
              <w:t xml:space="preserve">mm（±0.2mm）</w:t>
            </w:r>
            <w:r>
              <w:rPr>
                <w:rFonts w:hint="eastAsia" w:ascii="宋体" w:hAnsi="宋体" w:eastAsia="宋体" w:cs="宋体"/>
                <w:b w:val="0"/>
                <w:bCs w:val="0"/>
                <w:i w:val="0"/>
                <w:iCs w:val="0"/>
                <w:color w:val="000000"/>
                <w:sz w:val="24"/>
                <w:szCs w:val="24"/>
                <w:u w:val="none"/>
                <w:lang w:val="en-US" w:eastAsia="zh-CN" w:bidi="ar"/>
              </w:rPr>
              <w:t xml:space="preserve">一级冷轧钢板经机压成型，满焊无缝焊接工艺，表面经磷化、环氧树脂静电粉末涂装处理。</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5、柜门：双包结构，柜门内部填充蜂窝隔音棉。</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6、门铰：采用锌合金铰链。自闭式，与柜体面水平角度&lt;15度时，柜门即可自行关闭，使用过程中无噪音，可开关十万次。</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7、滑轨：三节静音滑轨滑轨，无噪音开合十万次不变形。</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8、拉手：一字内隐藏拉手，与门板抽屉连为一体。</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9、脚垫：ABS注塑专用垫，具有高度可调、耐磨、防潮、耐腐蚀等特点。</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1、规格：500</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500</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800mm（±10mm）；</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2、靠背及下座采用高密度网布格，阻燃；</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3、面料为网布格.依照人体工程学设计，骨架钢管，气动升降。</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numPr>
                <w:ilvl w:val="0"/>
                <w:numId w:val="7"/>
              </w:numPr>
              <w:jc w:val="left"/>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规格：1200</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600</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780mm（±</w:t>
            </w:r>
            <w:r>
              <w:rPr>
                <w:rFonts w:hint="eastAsia" w:ascii="宋体" w:hAnsi="宋体" w:cs="宋体"/>
                <w:b w:val="0"/>
                <w:bCs w:val="0"/>
                <w:i w:val="0"/>
                <w:iCs w:val="0"/>
                <w:color w:val="000000"/>
                <w:sz w:val="24"/>
                <w:szCs w:val="24"/>
                <w:u w:val="none"/>
                <w:lang w:val="en-US" w:eastAsia="zh-CN" w:bidi="ar"/>
              </w:rPr>
              <w:t xml:space="preserve">10</w:t>
            </w:r>
            <w:r>
              <w:rPr>
                <w:rFonts w:hint="eastAsia" w:ascii="宋体" w:hAnsi="宋体" w:eastAsia="宋体" w:cs="宋体"/>
                <w:b w:val="0"/>
                <w:bCs w:val="0"/>
                <w:i w:val="0"/>
                <w:iCs w:val="0"/>
                <w:color w:val="000000"/>
                <w:sz w:val="24"/>
                <w:szCs w:val="24"/>
                <w:u w:val="none"/>
                <w:lang w:val="en-US" w:eastAsia="zh-CN" w:bidi="ar"/>
              </w:rPr>
              <w:t xml:space="preserve">mm）。</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2、台面：采用≥12.7mm厚双面膜实芯理化板，且符合如下参数要求：</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▲2-1、化学性能检测：</w:t>
            </w:r>
            <w:r>
              <w:rPr>
                <w:rFonts w:hint="eastAsia" w:ascii="宋体" w:hAnsi="宋体" w:cs="宋体"/>
                <w:b w:val="0"/>
                <w:bCs w:val="0"/>
                <w:i w:val="0"/>
                <w:iCs w:val="0"/>
                <w:color w:val="000000"/>
                <w:sz w:val="24"/>
                <w:szCs w:val="24"/>
                <w:u w:val="none"/>
                <w:lang w:val="en-US" w:eastAsia="zh-CN" w:bidi="ar"/>
              </w:rPr>
              <w:t xml:space="preserve">依据</w:t>
            </w:r>
            <w:r>
              <w:rPr>
                <w:rFonts w:hint="eastAsia" w:ascii="宋体" w:hAnsi="宋体" w:eastAsia="宋体" w:cs="宋体"/>
                <w:b w:val="0"/>
                <w:bCs w:val="0"/>
                <w:i w:val="0"/>
                <w:iCs w:val="0"/>
                <w:color w:val="000000"/>
                <w:sz w:val="24"/>
                <w:szCs w:val="24"/>
                <w:u w:val="none"/>
                <w:lang w:val="en-US" w:eastAsia="zh-CN" w:bidi="ar"/>
              </w:rPr>
              <w:t xml:space="preserve"> GB/T 17657-2022《人造板及饰面人造板理化性能试验方法》</w:t>
            </w:r>
            <w:r>
              <w:rPr>
                <w:rFonts w:hint="eastAsia" w:ascii="宋体" w:hAnsi="宋体" w:cs="宋体"/>
                <w:b w:val="0"/>
                <w:bCs w:val="0"/>
                <w:i w:val="0"/>
                <w:iCs w:val="0"/>
                <w:color w:val="000000"/>
                <w:sz w:val="24"/>
                <w:szCs w:val="24"/>
                <w:u w:val="none"/>
                <w:lang w:val="en-US" w:eastAsia="zh-CN" w:bidi="ar"/>
              </w:rPr>
              <w:t xml:space="preserve">规定</w:t>
            </w:r>
            <w:r>
              <w:rPr>
                <w:rFonts w:hint="eastAsia" w:ascii="宋体" w:hAnsi="宋体" w:eastAsia="宋体" w:cs="宋体"/>
                <w:b w:val="0"/>
                <w:bCs w:val="0"/>
                <w:i w:val="0"/>
                <w:iCs w:val="0"/>
                <w:color w:val="000000"/>
                <w:sz w:val="24"/>
                <w:szCs w:val="24"/>
                <w:u w:val="none"/>
                <w:lang w:val="en-US" w:eastAsia="zh-CN" w:bidi="ar"/>
              </w:rPr>
              <w:t xml:space="preserve">，检测试剂至少包含：65%硝酸、98%硫酸、40%氢氧化钠</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氢氧化钾、柠檬酸、酱油、对二甲苯、乙酸甲酯等实验室通用试剂</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分别对覆盖玻璃盖板和未覆盖玻璃盖板的试件进行测试，检验结果均达到5级（无明显变化）。</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▲2-2、物理性能检测：依据GB/T 17657-2022《人造板及饰面人造板理化性能试验方法》标准</w:t>
            </w:r>
            <w:r>
              <w:rPr>
                <w:rFonts w:hint="eastAsia" w:ascii="宋体" w:hAnsi="宋体" w:cs="宋体"/>
                <w:b w:val="0"/>
                <w:bCs w:val="0"/>
                <w:i w:val="0"/>
                <w:iCs w:val="0"/>
                <w:color w:val="000000"/>
                <w:sz w:val="24"/>
                <w:szCs w:val="24"/>
                <w:u w:val="none"/>
                <w:lang w:val="en-US" w:eastAsia="zh-CN" w:bidi="ar"/>
              </w:rPr>
              <w:t xml:space="preserve">检测</w:t>
            </w:r>
            <w:r>
              <w:rPr>
                <w:rFonts w:hint="eastAsia" w:ascii="宋体" w:hAnsi="宋体" w:eastAsia="宋体" w:cs="宋体"/>
                <w:b w:val="0"/>
                <w:bCs w:val="0"/>
                <w:i w:val="0"/>
                <w:iCs w:val="0"/>
                <w:color w:val="000000"/>
                <w:sz w:val="24"/>
                <w:szCs w:val="24"/>
                <w:u w:val="none"/>
                <w:lang w:val="en-US" w:eastAsia="zh-CN" w:bidi="ar"/>
              </w:rPr>
              <w:t xml:space="preserve">，符合：</w:t>
            </w:r>
            <w:r>
              <w:rPr>
                <w:rFonts w:hint="eastAsia" w:ascii="宋体" w:hAnsi="宋体" w:cs="宋体"/>
                <w:b w:val="0"/>
                <w:bCs w:val="0"/>
                <w:i w:val="0"/>
                <w:iCs w:val="0"/>
                <w:color w:val="000000"/>
                <w:sz w:val="24"/>
                <w:szCs w:val="24"/>
                <w:u w:val="none"/>
                <w:lang w:val="en-US" w:eastAsia="zh-CN" w:bidi="ar"/>
              </w:rPr>
              <w:t xml:space="preserve">①</w:t>
            </w:r>
            <w:r>
              <w:rPr>
                <w:rFonts w:hint="eastAsia" w:ascii="宋体" w:hAnsi="宋体" w:eastAsia="宋体" w:cs="宋体"/>
                <w:b w:val="0"/>
                <w:bCs w:val="0"/>
                <w:i w:val="0"/>
                <w:iCs w:val="0"/>
                <w:color w:val="000000"/>
                <w:sz w:val="24"/>
                <w:szCs w:val="24"/>
                <w:u w:val="none"/>
                <w:lang w:val="en-US" w:eastAsia="zh-CN" w:bidi="ar"/>
              </w:rPr>
              <w:t xml:space="preserve">含水率：≤0.9%；</w:t>
            </w:r>
            <w:r>
              <w:rPr>
                <w:rFonts w:hint="eastAsia" w:ascii="宋体" w:hAnsi="宋体" w:cs="宋体"/>
                <w:b w:val="0"/>
                <w:bCs w:val="0"/>
                <w:i w:val="0"/>
                <w:iCs w:val="0"/>
                <w:color w:val="000000"/>
                <w:sz w:val="24"/>
                <w:szCs w:val="24"/>
                <w:u w:val="none"/>
                <w:lang w:val="en-US" w:eastAsia="zh-CN" w:bidi="ar"/>
              </w:rPr>
              <w:t xml:space="preserve">②</w:t>
            </w:r>
            <w:r>
              <w:rPr>
                <w:rFonts w:hint="eastAsia" w:ascii="宋体" w:hAnsi="宋体" w:eastAsia="宋体" w:cs="宋体"/>
                <w:b w:val="0"/>
                <w:bCs w:val="0"/>
                <w:i w:val="0"/>
                <w:iCs w:val="0"/>
                <w:color w:val="000000"/>
                <w:sz w:val="24"/>
                <w:szCs w:val="24"/>
                <w:u w:val="none"/>
                <w:lang w:val="en-US" w:eastAsia="zh-CN" w:bidi="ar"/>
              </w:rPr>
              <w:t xml:space="preserve">吸水厚度膨胀率≤0.1%；</w:t>
            </w:r>
            <w:r>
              <w:rPr>
                <w:rFonts w:hint="eastAsia" w:ascii="宋体" w:hAnsi="宋体" w:cs="宋体"/>
                <w:b w:val="0"/>
                <w:bCs w:val="0"/>
                <w:i w:val="0"/>
                <w:iCs w:val="0"/>
                <w:color w:val="000000"/>
                <w:sz w:val="24"/>
                <w:szCs w:val="24"/>
                <w:u w:val="none"/>
                <w:lang w:val="en-US" w:eastAsia="zh-CN" w:bidi="ar"/>
              </w:rPr>
              <w:t xml:space="preserve">③</w:t>
            </w:r>
            <w:r>
              <w:rPr>
                <w:rFonts w:hint="eastAsia" w:ascii="宋体" w:hAnsi="宋体" w:eastAsia="宋体" w:cs="宋体"/>
                <w:b w:val="0"/>
                <w:bCs w:val="0"/>
                <w:i w:val="0"/>
                <w:iCs w:val="0"/>
                <w:color w:val="000000"/>
                <w:sz w:val="24"/>
                <w:szCs w:val="24"/>
                <w:u w:val="none"/>
                <w:lang w:val="en-US" w:eastAsia="zh-CN" w:bidi="ar"/>
              </w:rPr>
              <w:t xml:space="preserve">尺寸稳定性：横向≤0.07%、纵向≤0.04%；</w:t>
            </w:r>
            <w:r>
              <w:rPr>
                <w:rFonts w:hint="eastAsia" w:ascii="宋体" w:hAnsi="宋体" w:cs="宋体"/>
                <w:b w:val="0"/>
                <w:bCs w:val="0"/>
                <w:i w:val="0"/>
                <w:iCs w:val="0"/>
                <w:color w:val="000000"/>
                <w:sz w:val="24"/>
                <w:szCs w:val="24"/>
                <w:u w:val="none"/>
                <w:lang w:val="en-US" w:eastAsia="zh-CN" w:bidi="ar"/>
              </w:rPr>
              <w:t xml:space="preserve">④</w:t>
            </w:r>
            <w:r>
              <w:rPr>
                <w:rFonts w:hint="eastAsia" w:ascii="宋体" w:hAnsi="宋体" w:eastAsia="宋体" w:cs="宋体"/>
                <w:b w:val="0"/>
                <w:bCs w:val="0"/>
                <w:i w:val="0"/>
                <w:iCs w:val="0"/>
                <w:color w:val="000000"/>
                <w:sz w:val="24"/>
                <w:szCs w:val="24"/>
                <w:u w:val="none"/>
                <w:lang w:val="en-US" w:eastAsia="zh-CN" w:bidi="ar"/>
              </w:rPr>
              <w:t xml:space="preserve">板面握螺钉力≥3490N；</w:t>
            </w:r>
            <w:r>
              <w:rPr>
                <w:rFonts w:hint="eastAsia" w:ascii="宋体" w:hAnsi="宋体" w:cs="宋体"/>
                <w:b w:val="0"/>
                <w:bCs w:val="0"/>
                <w:i w:val="0"/>
                <w:iCs w:val="0"/>
                <w:color w:val="000000"/>
                <w:sz w:val="24"/>
                <w:szCs w:val="24"/>
                <w:u w:val="none"/>
                <w:lang w:val="en-US" w:eastAsia="zh-CN" w:bidi="ar"/>
              </w:rPr>
              <w:t xml:space="preserve">⑤</w:t>
            </w:r>
            <w:r>
              <w:rPr>
                <w:rFonts w:hint="eastAsia" w:ascii="宋体" w:hAnsi="宋体" w:eastAsia="宋体" w:cs="宋体"/>
                <w:b w:val="0"/>
                <w:bCs w:val="0"/>
                <w:i w:val="0"/>
                <w:iCs w:val="0"/>
                <w:color w:val="000000"/>
                <w:sz w:val="24"/>
                <w:szCs w:val="24"/>
                <w:u w:val="none"/>
                <w:lang w:val="en-US" w:eastAsia="zh-CN" w:bidi="ar"/>
              </w:rPr>
              <w:t xml:space="preserve">表面耐冷热循环性能：表面无裂纹及鼓泡；</w:t>
            </w:r>
            <w:r>
              <w:rPr>
                <w:rFonts w:hint="eastAsia" w:ascii="宋体" w:hAnsi="宋体" w:cs="宋体"/>
                <w:b w:val="0"/>
                <w:bCs w:val="0"/>
                <w:i w:val="0"/>
                <w:iCs w:val="0"/>
                <w:color w:val="000000"/>
                <w:sz w:val="24"/>
                <w:szCs w:val="24"/>
                <w:u w:val="none"/>
                <w:lang w:val="en-US" w:eastAsia="zh-CN" w:bidi="ar"/>
              </w:rPr>
              <w:t xml:space="preserve">⑥</w:t>
            </w:r>
            <w:r>
              <w:rPr>
                <w:rFonts w:hint="eastAsia" w:ascii="宋体" w:hAnsi="宋体" w:eastAsia="宋体" w:cs="宋体"/>
                <w:b w:val="0"/>
                <w:bCs w:val="0"/>
                <w:i w:val="0"/>
                <w:iCs w:val="0"/>
                <w:color w:val="000000"/>
                <w:sz w:val="24"/>
                <w:szCs w:val="24"/>
                <w:u w:val="none"/>
                <w:lang w:val="en-US" w:eastAsia="zh-CN" w:bidi="ar"/>
              </w:rPr>
              <w:t xml:space="preserve">浸渍剥离性能：贴面层与基材之间的胶层无剥离和分层现象；</w:t>
            </w:r>
            <w:r>
              <w:rPr>
                <w:rFonts w:hint="eastAsia" w:ascii="宋体" w:hAnsi="宋体" w:cs="宋体"/>
                <w:b w:val="0"/>
                <w:bCs w:val="0"/>
                <w:i w:val="0"/>
                <w:iCs w:val="0"/>
                <w:color w:val="000000"/>
                <w:sz w:val="24"/>
                <w:szCs w:val="24"/>
                <w:u w:val="none"/>
                <w:lang w:val="en-US" w:eastAsia="zh-CN" w:bidi="ar"/>
              </w:rPr>
              <w:t xml:space="preserve">⑦</w:t>
            </w:r>
            <w:r>
              <w:rPr>
                <w:rFonts w:hint="eastAsia" w:ascii="宋体" w:hAnsi="宋体" w:eastAsia="宋体" w:cs="宋体"/>
                <w:b w:val="0"/>
                <w:bCs w:val="0"/>
                <w:i w:val="0"/>
                <w:iCs w:val="0"/>
                <w:color w:val="000000"/>
                <w:sz w:val="24"/>
                <w:szCs w:val="24"/>
                <w:u w:val="none"/>
                <w:lang w:val="en-US" w:eastAsia="zh-CN" w:bidi="ar"/>
              </w:rPr>
              <w:t xml:space="preserve">表面耐划痕性能：4.5N作用下试件表面无大于90%的连续划痕，表面装饰花纹无破坏现象；</w:t>
            </w:r>
            <w:r>
              <w:rPr>
                <w:rFonts w:hint="eastAsia" w:ascii="宋体" w:hAnsi="宋体" w:cs="宋体"/>
                <w:b w:val="0"/>
                <w:bCs w:val="0"/>
                <w:i w:val="0"/>
                <w:iCs w:val="0"/>
                <w:color w:val="000000"/>
                <w:sz w:val="24"/>
                <w:szCs w:val="24"/>
                <w:u w:val="none"/>
                <w:lang w:val="en-US" w:eastAsia="zh-CN" w:bidi="ar"/>
              </w:rPr>
              <w:t xml:space="preserve">⑧</w:t>
            </w:r>
            <w:r>
              <w:rPr>
                <w:rFonts w:hint="eastAsia" w:ascii="宋体" w:hAnsi="宋体" w:eastAsia="宋体" w:cs="宋体"/>
                <w:b w:val="0"/>
                <w:bCs w:val="0"/>
                <w:i w:val="0"/>
                <w:iCs w:val="0"/>
                <w:color w:val="000000"/>
                <w:sz w:val="24"/>
                <w:szCs w:val="24"/>
                <w:u w:val="none"/>
                <w:lang w:val="en-US" w:eastAsia="zh-CN" w:bidi="ar"/>
              </w:rPr>
              <w:t xml:space="preserve">耐沸水性能：质量增加百分率≤0.01%、厚度增加百分率≤0.08%，表面质量等级：5级：无变化，边缘质量等级：5级：无明显变化；</w:t>
            </w:r>
            <w:r>
              <w:rPr>
                <w:rFonts w:hint="eastAsia" w:ascii="宋体" w:hAnsi="宋体" w:cs="宋体"/>
                <w:b w:val="0"/>
                <w:bCs w:val="0"/>
                <w:i w:val="0"/>
                <w:iCs w:val="0"/>
                <w:color w:val="000000"/>
                <w:sz w:val="24"/>
                <w:szCs w:val="24"/>
                <w:u w:val="none"/>
                <w:lang w:val="en-US" w:eastAsia="zh-CN" w:bidi="ar"/>
              </w:rPr>
              <w:t xml:space="preserve">⑨</w:t>
            </w:r>
            <w:r>
              <w:rPr>
                <w:rFonts w:hint="eastAsia" w:ascii="宋体" w:hAnsi="宋体" w:eastAsia="宋体" w:cs="宋体"/>
                <w:b w:val="0"/>
                <w:bCs w:val="0"/>
                <w:i w:val="0"/>
                <w:iCs w:val="0"/>
                <w:color w:val="000000"/>
                <w:sz w:val="24"/>
                <w:szCs w:val="24"/>
                <w:u w:val="none"/>
                <w:lang w:val="en-US" w:eastAsia="zh-CN" w:bidi="ar"/>
              </w:rPr>
              <w:t xml:space="preserve">耐开裂性能：5级：无细微裂纹；</w:t>
            </w:r>
            <w:r>
              <w:rPr>
                <w:rFonts w:hint="eastAsia" w:ascii="宋体" w:hAnsi="宋体" w:cs="宋体"/>
                <w:b w:val="0"/>
                <w:bCs w:val="0"/>
                <w:i w:val="0"/>
                <w:iCs w:val="0"/>
                <w:color w:val="000000"/>
                <w:sz w:val="24"/>
                <w:szCs w:val="24"/>
                <w:u w:val="none"/>
                <w:lang w:val="en-US" w:eastAsia="zh-CN" w:bidi="ar"/>
              </w:rPr>
              <w:t xml:space="preserve">⑩</w:t>
            </w:r>
            <w:r>
              <w:rPr>
                <w:rFonts w:hint="eastAsia" w:ascii="宋体" w:hAnsi="宋体" w:eastAsia="宋体" w:cs="宋体"/>
                <w:b w:val="0"/>
                <w:bCs w:val="0"/>
                <w:i w:val="0"/>
                <w:iCs w:val="0"/>
                <w:color w:val="000000"/>
                <w:sz w:val="24"/>
                <w:szCs w:val="24"/>
                <w:u w:val="none"/>
                <w:lang w:val="en-US" w:eastAsia="zh-CN" w:bidi="ar"/>
              </w:rPr>
              <w:t xml:space="preserve">表面耐磨性能：≥1100r,未出现磨损点。</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▲2-3、环保性能检测</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依据 GB 18580-2017《室内装饰装修材料 人造板及其制品中甲醛释放限量》</w:t>
            </w:r>
            <w:r>
              <w:rPr>
                <w:rFonts w:hint="eastAsia" w:ascii="宋体" w:hAnsi="宋体" w:cs="宋体"/>
                <w:b w:val="0"/>
                <w:bCs w:val="0"/>
                <w:i w:val="0"/>
                <w:iCs w:val="0"/>
                <w:color w:val="000000"/>
                <w:sz w:val="24"/>
                <w:szCs w:val="24"/>
                <w:u w:val="none"/>
                <w:lang w:val="en-US" w:eastAsia="zh-CN" w:bidi="ar"/>
              </w:rPr>
              <w:t xml:space="preserve">检测</w:t>
            </w:r>
            <w:r>
              <w:rPr>
                <w:rFonts w:hint="eastAsia" w:ascii="宋体" w:hAnsi="宋体" w:eastAsia="宋体" w:cs="宋体"/>
                <w:b w:val="0"/>
                <w:bCs w:val="0"/>
                <w:i w:val="0"/>
                <w:iCs w:val="0"/>
                <w:color w:val="000000"/>
                <w:sz w:val="24"/>
                <w:szCs w:val="24"/>
                <w:u w:val="none"/>
                <w:lang w:val="en-US" w:eastAsia="zh-CN" w:bidi="ar"/>
              </w:rPr>
              <w:t xml:space="preserve">，甲醛释放量≤0.</w:t>
            </w:r>
            <w:r>
              <w:rPr>
                <w:rFonts w:hint="eastAsia" w:ascii="宋体" w:hAnsi="宋体" w:cs="宋体"/>
                <w:b w:val="0"/>
                <w:bCs w:val="0"/>
                <w:i w:val="0"/>
                <w:iCs w:val="0"/>
                <w:color w:val="000000"/>
                <w:sz w:val="24"/>
                <w:szCs w:val="24"/>
                <w:u w:val="none"/>
                <w:lang w:val="en-US" w:eastAsia="zh-CN" w:bidi="ar"/>
              </w:rPr>
              <w:t xml:space="preserve">005</w:t>
            </w:r>
            <w:r>
              <w:rPr>
                <w:rFonts w:hint="eastAsia" w:ascii="宋体" w:hAnsi="宋体" w:eastAsia="宋体" w:cs="宋体"/>
                <w:b w:val="0"/>
                <w:bCs w:val="0"/>
                <w:i w:val="0"/>
                <w:iCs w:val="0"/>
                <w:color w:val="000000"/>
                <w:sz w:val="24"/>
                <w:szCs w:val="24"/>
                <w:u w:val="none"/>
                <w:lang w:val="en-US" w:eastAsia="zh-CN" w:bidi="ar"/>
              </w:rPr>
              <w:t xml:space="preserve">mg/m³</w:t>
            </w:r>
            <w:r>
              <w:rPr>
                <w:rFonts w:hint="eastAsia" w:ascii="宋体" w:hAnsi="宋体" w:cs="宋体"/>
                <w:b w:val="0"/>
                <w:bCs w:val="0"/>
                <w:i w:val="0"/>
                <w:iCs w:val="0"/>
                <w:color w:val="000000"/>
                <w:sz w:val="24"/>
                <w:szCs w:val="24"/>
                <w:u w:val="none"/>
                <w:lang w:val="en-US" w:eastAsia="zh-CN" w:bidi="ar"/>
              </w:rPr>
              <w:t xml:space="preserve">。</w:t>
            </w:r>
            <w:r/>
          </w:p>
          <w:p>
            <w:pPr>
              <w:numPr>
                <w:ilvl w:val="0"/>
                <w:numId w:val="0"/>
              </w:num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▲2-4、抗菌性能检测：</w:t>
            </w:r>
            <w:r>
              <w:rPr>
                <w:rFonts w:hint="eastAsia" w:ascii="宋体" w:hAnsi="宋体" w:cs="宋体"/>
                <w:b w:val="0"/>
                <w:bCs w:val="0"/>
                <w:i w:val="0"/>
                <w:iCs w:val="0"/>
                <w:color w:val="000000"/>
                <w:sz w:val="24"/>
                <w:szCs w:val="24"/>
                <w:u w:val="none"/>
                <w:lang w:val="en-US" w:eastAsia="zh-CN" w:bidi="ar"/>
              </w:rPr>
              <w:t xml:space="preserve">依据</w:t>
            </w:r>
            <w:r>
              <w:rPr>
                <w:rFonts w:hint="eastAsia" w:ascii="宋体" w:hAnsi="宋体" w:eastAsia="宋体" w:cs="宋体"/>
                <w:b w:val="0"/>
                <w:bCs w:val="0"/>
                <w:i w:val="0"/>
                <w:iCs w:val="0"/>
                <w:color w:val="000000"/>
                <w:sz w:val="24"/>
                <w:szCs w:val="24"/>
                <w:u w:val="none"/>
                <w:lang w:val="en-US" w:eastAsia="zh-CN" w:bidi="ar"/>
              </w:rPr>
              <w:t xml:space="preserve">JC/T 2039-2010《抗菌防霉木质装饰板》标准，菌种</w:t>
            </w:r>
            <w:r>
              <w:rPr>
                <w:rFonts w:hint="eastAsia" w:ascii="宋体" w:hAnsi="宋体" w:cs="宋体"/>
                <w:b w:val="0"/>
                <w:bCs w:val="0"/>
                <w:i w:val="0"/>
                <w:iCs w:val="0"/>
                <w:color w:val="000000"/>
                <w:sz w:val="24"/>
                <w:szCs w:val="24"/>
                <w:u w:val="none"/>
                <w:lang w:val="en-US" w:eastAsia="zh-CN" w:bidi="ar"/>
              </w:rPr>
              <w:t xml:space="preserve">至少包含</w:t>
            </w:r>
            <w:r>
              <w:rPr>
                <w:rFonts w:hint="eastAsia" w:ascii="宋体" w:hAnsi="宋体" w:eastAsia="宋体" w:cs="宋体"/>
                <w:b w:val="0"/>
                <w:bCs w:val="0"/>
                <w:i w:val="0"/>
                <w:iCs w:val="0"/>
                <w:color w:val="000000"/>
                <w:sz w:val="24"/>
                <w:szCs w:val="24"/>
                <w:u w:val="none"/>
                <w:lang w:val="en-US" w:eastAsia="zh-CN" w:bidi="ar"/>
              </w:rPr>
              <w:t xml:space="preserve">金黄色葡萄球菌、大肠杆菌</w:t>
            </w:r>
            <w:r>
              <w:rPr>
                <w:rFonts w:hint="eastAsia" w:ascii="宋体" w:hAnsi="宋体" w:cs="宋体"/>
                <w:b w:val="0"/>
                <w:bCs w:val="0"/>
                <w:i w:val="0"/>
                <w:iCs w:val="0"/>
                <w:color w:val="000000"/>
                <w:sz w:val="24"/>
                <w:szCs w:val="24"/>
                <w:u w:val="none"/>
                <w:lang w:val="en-US" w:eastAsia="zh-CN" w:bidi="ar"/>
              </w:rPr>
              <w:t xml:space="preserve">（大肠埃希氏菌）</w:t>
            </w:r>
            <w:r>
              <w:rPr>
                <w:rFonts w:hint="eastAsia"/>
                <w:lang w:eastAsia="zh-CN"/>
              </w:rPr>
              <w:t xml:space="preserve">、</w:t>
            </w:r>
            <w:r>
              <w:rPr>
                <w:rFonts w:hint="eastAsia" w:ascii="宋体" w:hAnsi="宋体" w:eastAsia="宋体" w:cs="宋体"/>
                <w:b w:val="0"/>
                <w:bCs w:val="0"/>
                <w:i w:val="0"/>
                <w:iCs w:val="0"/>
                <w:color w:val="000000"/>
                <w:sz w:val="24"/>
                <w:szCs w:val="24"/>
                <w:u w:val="none"/>
                <w:lang w:val="en-US" w:eastAsia="zh-CN" w:bidi="ar"/>
              </w:rPr>
              <w:t xml:space="preserve">肺炎克雷伯氏菌、鼠伤寒沙门氏菌、表皮葡萄球菌、铜绿假单胞菌、宋氏志贺氏菌、白色葡萄球菌、粪肠球菌</w:t>
            </w:r>
            <w:r>
              <w:rPr>
                <w:rFonts w:hint="eastAsia" w:ascii="宋体" w:hAnsi="宋体" w:cs="宋体"/>
                <w:b w:val="0"/>
                <w:bCs w:val="0"/>
                <w:i w:val="0"/>
                <w:iCs w:val="0"/>
                <w:color w:val="000000"/>
                <w:sz w:val="24"/>
                <w:szCs w:val="24"/>
                <w:u w:val="none"/>
                <w:lang w:val="en-US" w:eastAsia="zh-CN" w:bidi="ar"/>
              </w:rPr>
              <w:t xml:space="preserve">，且</w:t>
            </w:r>
            <w:r>
              <w:rPr>
                <w:rFonts w:hint="eastAsia" w:ascii="宋体" w:hAnsi="宋体" w:eastAsia="宋体" w:cs="宋体"/>
                <w:b w:val="0"/>
                <w:bCs w:val="0"/>
                <w:i w:val="0"/>
                <w:iCs w:val="0"/>
                <w:color w:val="000000"/>
                <w:sz w:val="24"/>
                <w:szCs w:val="24"/>
                <w:u w:val="none"/>
                <w:lang w:val="en-US" w:eastAsia="zh-CN" w:bidi="ar"/>
              </w:rPr>
              <w:t xml:space="preserve">抗菌率≥95%。</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▲2-5、防霉性能检测：</w:t>
            </w:r>
            <w:r>
              <w:rPr>
                <w:rFonts w:hint="eastAsia" w:ascii="宋体" w:hAnsi="宋体" w:cs="宋体"/>
                <w:b w:val="0"/>
                <w:bCs w:val="0"/>
                <w:i w:val="0"/>
                <w:iCs w:val="0"/>
                <w:color w:val="000000"/>
                <w:sz w:val="24"/>
                <w:szCs w:val="24"/>
                <w:u w:val="none"/>
                <w:lang w:val="en-US" w:eastAsia="zh-CN" w:bidi="ar"/>
              </w:rPr>
              <w:t xml:space="preserve">依据</w:t>
            </w:r>
            <w:r>
              <w:rPr>
                <w:rFonts w:hint="eastAsia" w:ascii="宋体" w:hAnsi="宋体" w:eastAsia="宋体" w:cs="宋体"/>
                <w:b w:val="0"/>
                <w:bCs w:val="0"/>
                <w:i w:val="0"/>
                <w:iCs w:val="0"/>
                <w:color w:val="000000"/>
                <w:sz w:val="24"/>
                <w:szCs w:val="24"/>
                <w:u w:val="none"/>
                <w:lang w:val="en-US" w:eastAsia="zh-CN" w:bidi="ar"/>
              </w:rPr>
              <w:t xml:space="preserve"> JC/T 2039-2010《抗菌防霉木质装饰板》标准，菌种至少包含黑曲霉、土曲霉、球毛壳霉、宛氏拟青霉、绳状青霉、出芽短梗霉；检测后试件表面肉眼观察未见生长，防霉等级为0级</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▲2-6、燃烧性能检测：依据GB/T 2408-2021《塑料 燃烧性能的测定 水平法和垂直法》标准，符合：水平燃烧符合HB级；垂直燃烧符合V-0级</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（上述2-1至2-</w:t>
            </w:r>
            <w:r>
              <w:rPr>
                <w:rFonts w:hint="eastAsia" w:ascii="宋体" w:hAnsi="宋体" w:cs="宋体"/>
                <w:b/>
                <w:bCs/>
                <w:i w:val="0"/>
                <w:iCs w:val="0"/>
                <w:color w:val="000000"/>
                <w:sz w:val="24"/>
                <w:szCs w:val="24"/>
                <w:u w:val="none"/>
                <w:lang w:val="en-US" w:eastAsia="zh-CN" w:bidi="ar"/>
              </w:rPr>
              <w:t xml:space="preserve">6</w:t>
            </w:r>
            <w:r>
              <w:rPr>
                <w:rFonts w:hint="eastAsia" w:ascii="宋体" w:hAnsi="宋体" w:eastAsia="宋体" w:cs="宋体"/>
                <w:b/>
                <w:bCs/>
                <w:i w:val="0"/>
                <w:iCs w:val="0"/>
                <w:color w:val="000000"/>
                <w:sz w:val="24"/>
                <w:szCs w:val="24"/>
                <w:u w:val="none"/>
                <w:lang w:val="en-US" w:eastAsia="zh-CN" w:bidi="ar"/>
              </w:rPr>
              <w:t xml:space="preserve">项：投标文件中提供第三方检测机构出具的有效期内检验检测报告扫描件</w:t>
            </w:r>
            <w:r>
              <w:rPr>
                <w:rFonts w:hint="eastAsia" w:ascii="宋体" w:hAnsi="宋体" w:cs="宋体"/>
                <w:b/>
                <w:bCs/>
                <w:i w:val="0"/>
                <w:iCs w:val="0"/>
                <w:color w:val="000000"/>
                <w:sz w:val="24"/>
                <w:szCs w:val="24"/>
                <w:u w:val="none"/>
                <w:lang w:val="en-US" w:eastAsia="zh-CN" w:bidi="ar"/>
              </w:rPr>
              <w:t xml:space="preserve">、复印件或电子件</w:t>
            </w:r>
            <w:r>
              <w:rPr>
                <w:rFonts w:hint="eastAsia" w:ascii="宋体" w:hAnsi="宋体" w:eastAsia="宋体" w:cs="宋体"/>
                <w:b/>
                <w:bCs/>
                <w:i w:val="0"/>
                <w:iCs w:val="0"/>
                <w:color w:val="000000"/>
                <w:sz w:val="24"/>
                <w:szCs w:val="24"/>
                <w:u w:val="none"/>
                <w:lang w:val="en-US" w:eastAsia="zh-CN" w:bidi="ar"/>
              </w:rPr>
              <w:t xml:space="preserve">，报告具有CMA标识并加盖投标人公章。）</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3、台身结构：新型塑铝结构，学生位镂空式，符合人体工程学设计。</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4、桌身：由桌腿、立柱、支撑柱、前横梁、中横梁、后横梁组成。</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5、桌腿：采用工字型压铸铝一次成型，三段链接。下脚正反面设有塑料卡盖。</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6、立柱：采用40×110mm（±</w:t>
            </w:r>
            <w:r>
              <w:rPr>
                <w:rFonts w:hint="eastAsia" w:ascii="宋体" w:hAnsi="宋体" w:cs="宋体"/>
                <w:b w:val="0"/>
                <w:bCs w:val="0"/>
                <w:i w:val="0"/>
                <w:iCs w:val="0"/>
                <w:color w:val="000000"/>
                <w:sz w:val="24"/>
                <w:szCs w:val="24"/>
                <w:u w:val="none"/>
                <w:lang w:val="en-US" w:eastAsia="zh-CN" w:bidi="ar"/>
              </w:rPr>
              <w:t xml:space="preserve">5</w:t>
            </w:r>
            <w:r>
              <w:rPr>
                <w:rFonts w:hint="eastAsia" w:ascii="宋体" w:hAnsi="宋体" w:eastAsia="宋体" w:cs="宋体"/>
                <w:b w:val="0"/>
                <w:bCs w:val="0"/>
                <w:i w:val="0"/>
                <w:iCs w:val="0"/>
                <w:color w:val="000000"/>
                <w:sz w:val="24"/>
                <w:szCs w:val="24"/>
                <w:u w:val="none"/>
                <w:lang w:val="en-US" w:eastAsia="zh-CN" w:bidi="ar"/>
              </w:rPr>
              <w:t xml:space="preserve">mm），壁厚≥1.3mm的铝合金立柱。材料采用铝镁合金材料，材料表面经高压静电喷涂环氧树脂防护层，耐酸碱，耐腐蚀处理。</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7、书包斗:尺寸：430×270×160mm（±</w:t>
            </w:r>
            <w:r>
              <w:rPr>
                <w:rFonts w:hint="eastAsia" w:ascii="宋体" w:hAnsi="宋体" w:cs="宋体"/>
                <w:b w:val="0"/>
                <w:bCs w:val="0"/>
                <w:i w:val="0"/>
                <w:iCs w:val="0"/>
                <w:color w:val="000000"/>
                <w:sz w:val="24"/>
                <w:szCs w:val="24"/>
                <w:u w:val="none"/>
                <w:lang w:val="en-US" w:eastAsia="zh-CN" w:bidi="ar"/>
              </w:rPr>
              <w:t xml:space="preserve">10</w:t>
            </w:r>
            <w:r>
              <w:rPr>
                <w:rFonts w:hint="eastAsia" w:ascii="宋体" w:hAnsi="宋体" w:eastAsia="宋体" w:cs="宋体"/>
                <w:b w:val="0"/>
                <w:bCs w:val="0"/>
                <w:i w:val="0"/>
                <w:iCs w:val="0"/>
                <w:color w:val="000000"/>
                <w:sz w:val="24"/>
                <w:szCs w:val="24"/>
                <w:u w:val="none"/>
                <w:lang w:val="en-US" w:eastAsia="zh-CN" w:bidi="ar"/>
              </w:rPr>
              <w:t xml:space="preserve">mm），采用环保型ABS工程塑料一次性注塑成型</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8、两个书包斗中间设有学生电源盒，尺寸：260×185×140mm（±</w:t>
            </w:r>
            <w:r>
              <w:rPr>
                <w:rFonts w:hint="eastAsia" w:ascii="宋体" w:hAnsi="宋体" w:cs="宋体"/>
                <w:b w:val="0"/>
                <w:bCs w:val="0"/>
                <w:i w:val="0"/>
                <w:iCs w:val="0"/>
                <w:color w:val="000000"/>
                <w:sz w:val="24"/>
                <w:szCs w:val="24"/>
                <w:u w:val="none"/>
                <w:lang w:val="en-US" w:eastAsia="zh-CN" w:bidi="ar"/>
              </w:rPr>
              <w:t xml:space="preserve">10</w:t>
            </w:r>
            <w:r>
              <w:rPr>
                <w:rFonts w:hint="eastAsia" w:ascii="宋体" w:hAnsi="宋体" w:eastAsia="宋体" w:cs="宋体"/>
                <w:b w:val="0"/>
                <w:bCs w:val="0"/>
                <w:i w:val="0"/>
                <w:iCs w:val="0"/>
                <w:color w:val="000000"/>
                <w:sz w:val="24"/>
                <w:szCs w:val="24"/>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1、水槽柜整体规格：长600×宽470×高820mm</w:t>
            </w:r>
            <w:r>
              <w:rPr>
                <w:rFonts w:hint="eastAsia" w:ascii="宋体" w:hAnsi="宋体" w:cs="宋体"/>
                <w:b w:val="0"/>
                <w:bCs w:val="0"/>
                <w:i w:val="0"/>
                <w:iCs w:val="0"/>
                <w:color w:val="000000"/>
                <w:sz w:val="24"/>
                <w:szCs w:val="24"/>
                <w:u w:val="none"/>
                <w:lang w:val="en-US" w:eastAsia="zh-CN" w:bidi="ar"/>
              </w:rPr>
              <w:t xml:space="preserve">(±10mm）</w:t>
            </w:r>
            <w:r>
              <w:rPr>
                <w:rFonts w:hint="eastAsia" w:ascii="宋体" w:hAnsi="宋体" w:eastAsia="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2、由水架、柜体和水槽底座共三部分组成；</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3、水槽内规格400×310×240mm</w:t>
            </w:r>
            <w:r>
              <w:rPr>
                <w:rFonts w:hint="eastAsia" w:ascii="宋体" w:hAnsi="宋体" w:cs="宋体"/>
                <w:b w:val="0"/>
                <w:bCs w:val="0"/>
                <w:i w:val="0"/>
                <w:iCs w:val="0"/>
                <w:color w:val="000000"/>
                <w:sz w:val="24"/>
                <w:szCs w:val="24"/>
                <w:u w:val="none"/>
                <w:lang w:val="en-US" w:eastAsia="zh-CN" w:bidi="ar"/>
              </w:rPr>
              <w:t xml:space="preserve">(±10mm）</w:t>
            </w:r>
            <w:r>
              <w:rPr>
                <w:rFonts w:hint="eastAsia" w:ascii="宋体" w:hAnsi="宋体" w:eastAsia="宋体" w:cs="宋体"/>
                <w:b w:val="0"/>
                <w:bCs w:val="0"/>
                <w:i w:val="0"/>
                <w:iCs w:val="0"/>
                <w:color w:val="000000"/>
                <w:sz w:val="24"/>
                <w:szCs w:val="24"/>
                <w:u w:val="none"/>
                <w:lang w:val="en-US" w:eastAsia="zh-CN" w:bidi="ar"/>
              </w:rPr>
              <w:t xml:space="preserve">，水架规格60×170×320mm</w:t>
            </w:r>
            <w:r>
              <w:rPr>
                <w:rFonts w:hint="eastAsia" w:ascii="宋体" w:hAnsi="宋体" w:cs="宋体"/>
                <w:b w:val="0"/>
                <w:bCs w:val="0"/>
                <w:i w:val="0"/>
                <w:iCs w:val="0"/>
                <w:color w:val="000000"/>
                <w:sz w:val="24"/>
                <w:szCs w:val="24"/>
                <w:u w:val="none"/>
                <w:lang w:val="en-US" w:eastAsia="zh-CN" w:bidi="ar"/>
              </w:rPr>
              <w:t xml:space="preserve">(±10mm）</w:t>
            </w:r>
            <w:r>
              <w:rPr>
                <w:rFonts w:hint="eastAsia" w:ascii="宋体" w:hAnsi="宋体" w:eastAsia="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4、滴水架正面设有十条试管位滴水架,注塑模具一次成型无缝</w:t>
            </w:r>
            <w:r>
              <w:rPr>
                <w:rFonts w:hint="eastAsia" w:ascii="宋体" w:hAnsi="宋体" w:cs="宋体"/>
                <w:b w:val="0"/>
                <w:bCs w:val="0"/>
                <w:i w:val="0"/>
                <w:iCs w:val="0"/>
                <w:color w:val="000000"/>
                <w:sz w:val="24"/>
                <w:szCs w:val="24"/>
                <w:u w:val="none"/>
                <w:lang w:val="en-US" w:eastAsia="zh-CN" w:bidi="ar"/>
              </w:rPr>
              <w:t xml:space="preserve">连接</w:t>
            </w:r>
            <w:r>
              <w:rPr>
                <w:rFonts w:hint="eastAsia" w:ascii="宋体" w:hAnsi="宋体" w:eastAsia="宋体" w:cs="宋体"/>
                <w:b w:val="0"/>
                <w:bCs w:val="0"/>
                <w:i w:val="0"/>
                <w:iCs w:val="0"/>
                <w:color w:val="000000"/>
                <w:sz w:val="24"/>
                <w:szCs w:val="24"/>
                <w:u w:val="none"/>
                <w:lang w:val="en-US" w:eastAsia="zh-CN" w:bidi="ar"/>
              </w:rPr>
              <w:t xml:space="preserve">，采用ABS材料，无臭无毒、耐强酸碱，废水无法沿着水槽柜台面侵蚀柜体；</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5、柜体底座采用ABS注塑成型，水槽采用PP塑料一次模具成型；柜体前后带有磁吸检修门，前沿带有围边挡水，柜体内设有隐藏式抽屉方便放置洗涤用品，水封式水塞可防止废水回流和堵塞。</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numPr>
                <w:ilvl w:val="0"/>
                <w:numId w:val="8"/>
              </w:numPr>
              <w:jc w:val="left"/>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采用定制结构，上下水接头集于一体，上下水接口置于桌面以上便于和上方水源及排水装置连接，上下水接口均采用</w:t>
            </w:r>
            <w:r>
              <w:rPr>
                <w:rFonts w:hint="eastAsia" w:ascii="宋体" w:hAnsi="宋体" w:cs="宋体"/>
                <w:b w:val="0"/>
                <w:bCs w:val="0"/>
                <w:i w:val="0"/>
                <w:iCs w:val="0"/>
                <w:color w:val="000000"/>
                <w:sz w:val="24"/>
                <w:szCs w:val="24"/>
                <w:u w:val="none"/>
                <w:lang w:val="en-US" w:eastAsia="zh-CN" w:bidi="ar"/>
              </w:rPr>
              <w:t xml:space="preserve">快速拆装设计</w:t>
            </w:r>
            <w:r>
              <w:rPr>
                <w:rFonts w:hint="eastAsia" w:ascii="宋体" w:hAnsi="宋体" w:eastAsia="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2、鹅颈式实验室专用化验水嘴：要求防酸碱、防锈、防虹吸、防阻塞，表面环氧树脂喷涂；</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3、出水嘴为铜质瓷芯，高头，便于多用途使用，可拆卸清洗阻塞。出水嘴可拆卸，内有成型螺纹，可方便连接循环等特殊用水水管。</w:t>
            </w:r>
            <w:bookmarkStart w:id="11" w:name="OLE_LINK3"/>
            <w:r/>
            <w:r/>
          </w:p>
          <w:p>
            <w:pPr>
              <w:numPr>
                <w:ilvl w:val="0"/>
                <w:numId w:val="0"/>
              </w:num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bCs/>
                <w:i/>
                <w:iCs/>
                <w:sz w:val="24"/>
                <w:szCs w:val="24"/>
                <w:highlight w:val="none"/>
                <w:u w:val="single"/>
                <w:lang w:val="en-US" w:eastAsia="zh-CN"/>
              </w:rPr>
              <w:t xml:space="preserve">4、</w:t>
            </w:r>
            <w:r>
              <w:rPr>
                <w:rFonts w:hint="eastAsia" w:ascii="宋体" w:hAnsi="宋体" w:eastAsia="宋体" w:cs="宋体"/>
                <w:b/>
                <w:bCs/>
                <w:i/>
                <w:iCs/>
                <w:sz w:val="24"/>
                <w:szCs w:val="24"/>
                <w:highlight w:val="none"/>
                <w:u w:val="single"/>
                <w:lang w:eastAsia="zh-CN"/>
              </w:rPr>
              <w:t xml:space="preserve">投标文件中提供节能（</w:t>
            </w:r>
            <w:r>
              <w:rPr>
                <w:rFonts w:hint="eastAsia" w:ascii="宋体" w:hAnsi="宋体" w:eastAsia="宋体" w:cs="宋体"/>
                <w:b/>
                <w:bCs/>
                <w:i/>
                <w:iCs/>
                <w:sz w:val="24"/>
                <w:szCs w:val="24"/>
                <w:highlight w:val="none"/>
                <w:u w:val="single"/>
                <w:lang w:eastAsia="zh-CN"/>
              </w:rPr>
              <w:t xml:space="preserve">节水）</w:t>
            </w:r>
            <w:r>
              <w:rPr>
                <w:rFonts w:hint="eastAsia" w:ascii="宋体" w:hAnsi="宋体" w:eastAsia="宋体" w:cs="宋体"/>
                <w:b/>
                <w:bCs/>
                <w:i/>
                <w:iCs/>
                <w:sz w:val="24"/>
                <w:szCs w:val="24"/>
                <w:highlight w:val="none"/>
                <w:u w:val="single"/>
                <w:lang w:eastAsia="zh-CN"/>
              </w:rPr>
              <w:t xml:space="preserve">证书扫描件并加盖投标人公章</w:t>
            </w:r>
            <w:bookmarkEnd w:id="11"/>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1、规格:300×455×510mm（±</w:t>
            </w:r>
            <w:r>
              <w:rPr>
                <w:rFonts w:hint="eastAsia" w:ascii="宋体" w:hAnsi="宋体" w:cs="宋体"/>
                <w:b w:val="0"/>
                <w:bCs w:val="0"/>
                <w:i w:val="0"/>
                <w:iCs w:val="0"/>
                <w:color w:val="000000"/>
                <w:sz w:val="24"/>
                <w:szCs w:val="24"/>
                <w:u w:val="none"/>
                <w:lang w:val="en-US" w:eastAsia="zh-CN" w:bidi="ar"/>
              </w:rPr>
              <w:t xml:space="preserve">10</w:t>
            </w:r>
            <w:r>
              <w:rPr>
                <w:rFonts w:hint="eastAsia" w:ascii="宋体" w:hAnsi="宋体" w:eastAsia="宋体" w:cs="宋体"/>
                <w:b w:val="0"/>
                <w:bCs w:val="0"/>
                <w:i w:val="0"/>
                <w:iCs w:val="0"/>
                <w:color w:val="000000"/>
                <w:sz w:val="24"/>
                <w:szCs w:val="24"/>
                <w:u w:val="none"/>
                <w:lang w:val="en-US" w:eastAsia="zh-CN" w:bidi="ar"/>
              </w:rPr>
              <w:t xml:space="preserve">mm）；</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2、凳面:凳面直径≥315mm，采用环保型PP改性塑料注塑成型；防滑不发光；</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3、脚垫:采用PP加耐磨纤维质塑料；</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4、凳子可螺旋升降</w:t>
            </w: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numPr>
                <w:ilvl w:val="0"/>
                <w:numId w:val="9"/>
              </w:numPr>
              <w:jc w:val="left"/>
              <w:keepLines w:val="0"/>
              <w:keepNext/>
              <w:widowControl/>
              <w:rPr>
                <w:rFonts w:hint="eastAsia" w:ascii="宋体" w:hAnsi="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整体尺寸：450mm×200mm×900㎜(±</w:t>
            </w:r>
            <w:r>
              <w:rPr>
                <w:rFonts w:hint="eastAsia" w:ascii="宋体" w:hAnsi="宋体" w:cs="宋体"/>
                <w:b w:val="0"/>
                <w:bCs w:val="0"/>
                <w:i w:val="0"/>
                <w:iCs w:val="0"/>
                <w:color w:val="000000"/>
                <w:sz w:val="24"/>
                <w:szCs w:val="24"/>
                <w:u w:val="none"/>
                <w:lang w:val="en-US" w:eastAsia="zh-CN" w:bidi="ar"/>
              </w:rPr>
              <w:t xml:space="preserve">10</w:t>
            </w:r>
            <w:r>
              <w:rPr>
                <w:rFonts w:hint="eastAsia" w:ascii="宋体" w:hAnsi="宋体" w:eastAsia="宋体" w:cs="宋体"/>
                <w:b w:val="0"/>
                <w:bCs w:val="0"/>
                <w:i w:val="0"/>
                <w:iCs w:val="0"/>
                <w:color w:val="000000"/>
                <w:sz w:val="24"/>
                <w:szCs w:val="24"/>
                <w:u w:val="none"/>
                <w:lang w:val="en-US" w:eastAsia="zh-CN" w:bidi="ar"/>
              </w:rPr>
              <w:t xml:space="preserve">㎜)；箱体厚度为≥1.2mm冷轧钢板，钣金折弯成型，表面经酸洗磷化处理，静电喷涂环保粉末高温处理工艺，无有害物质</w:t>
            </w:r>
            <w:r>
              <w:rPr>
                <w:rFonts w:hint="eastAsia" w:ascii="宋体" w:hAnsi="宋体" w:cs="宋体"/>
                <w:b w:val="0"/>
                <w:bCs w:val="0"/>
                <w:i w:val="0"/>
                <w:iCs w:val="0"/>
                <w:color w:val="000000"/>
                <w:sz w:val="24"/>
                <w:szCs w:val="24"/>
                <w:u w:val="none"/>
                <w:lang w:val="en-US" w:eastAsia="zh-CN" w:bidi="ar"/>
              </w:rPr>
              <w:t xml:space="preserve">；</w:t>
            </w:r>
            <w:r/>
          </w:p>
          <w:p>
            <w:pPr>
              <w:numPr>
                <w:ilvl w:val="0"/>
                <w:numId w:val="0"/>
              </w:num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2、控制箱体内分二段式结构设计，柜上端为电气设备安装层，下端为控制操作屏系统；</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3、风机控制系统：功率</w:t>
            </w:r>
            <w:r>
              <w:rPr>
                <w:rFonts w:hint="eastAsia" w:ascii="宋体" w:hAnsi="宋体" w:cs="宋体"/>
                <w:b w:val="0"/>
                <w:bCs w:val="0"/>
                <w:i w:val="0"/>
                <w:iCs w:val="0"/>
                <w:color w:val="000000"/>
                <w:sz w:val="24"/>
                <w:szCs w:val="24"/>
                <w:u w:val="none"/>
                <w:lang w:val="en-US" w:eastAsia="zh-CN" w:bidi="ar"/>
              </w:rPr>
              <w:t xml:space="preserve">不低于</w:t>
            </w:r>
            <w:r>
              <w:rPr>
                <w:rFonts w:hint="eastAsia" w:ascii="宋体" w:hAnsi="宋体" w:eastAsia="宋体" w:cs="宋体"/>
                <w:b w:val="0"/>
                <w:bCs w:val="0"/>
                <w:i w:val="0"/>
                <w:iCs w:val="0"/>
                <w:color w:val="000000"/>
                <w:sz w:val="24"/>
                <w:szCs w:val="24"/>
                <w:u w:val="none"/>
                <w:lang w:val="en-US" w:eastAsia="zh-CN" w:bidi="ar"/>
              </w:rPr>
              <w:t xml:space="preserve">5.5KVA；额定输入电压：三相380V，±15%；额定输入频率：50</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60H</w:t>
            </w:r>
            <w:r>
              <w:rPr>
                <w:rFonts w:hint="eastAsia" w:ascii="宋体" w:hAnsi="宋体" w:cs="宋体"/>
                <w:b w:val="0"/>
                <w:bCs w:val="0"/>
                <w:i w:val="0"/>
                <w:iCs w:val="0"/>
                <w:color w:val="000000"/>
                <w:sz w:val="24"/>
                <w:szCs w:val="24"/>
                <w:u w:val="none"/>
                <w:lang w:val="en-US" w:eastAsia="zh-CN" w:bidi="ar"/>
              </w:rPr>
              <w:t xml:space="preserve">z</w:t>
            </w:r>
            <w:r>
              <w:rPr>
                <w:rFonts w:hint="eastAsia" w:ascii="宋体" w:hAnsi="宋体" w:eastAsia="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4、控制功能：数码显示、移位、编程、运行、正传切换、数值加减无极调速、停止复位。采用集成IGBT模块，PLC运行，RS485通讯，智能设计参数，多段速运行，自动节能控制，自动稳压、宽电压设计、多种控制模式。</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5、3P电源总开关一组，学生总控2P漏电保护器一组，220V电源插座三组；</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6、摇臂控制系统：教师通过控制箱或移动设备对全室摇臂进行单独或分组控制（上升、下降或暂停，上升或下降到底后摇臂会自动停止）；</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7、电源控制系统：教师通过控制箱或移动设备对全室220V高压及0-30V低压进行单独或分组控制；</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8、照明控制系统：教师通过控制箱或移动设备对全室照明进行单独或分组控制；</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9、供排水控制系统：供水系统：每个学生终端配置一组水流检测传感器，当供水时自动进行排水控制，摇臂下方配有插拔式自动锁紧供水接口，接口与学生水槽柜之间通过硅胶软管连接，即插即用，用完拔下收起即可；排水系统：排水由智能化控制系统集中控制，摇臂下方配有插拔式自动锁紧排水接口，接口与学生水槽柜通过具有耐酸、耐碱、耐腐蚀功能的硅胶软管连接，即插即用，用完拔下收起即可，供排水管具有到位检测功能，水管未拔下，摇臂不能收起（防摇臂误操作收起检测系统）；</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10、单片机控制器及功能扩展模块1套，单片机保护模块1个，急停控制系统1套；配有关键安全系统既长时间不操作，自动切断总电源；</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11、电源分组控制系统1套、照明分组控制系统1套、供排水分组控制系统1套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智能控制端</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numPr>
                <w:ilvl w:val="0"/>
                <w:numId w:val="10"/>
              </w:numPr>
              <w:jc w:val="left"/>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规格：≥10英寸高分辨率工业</w:t>
            </w:r>
            <w:r>
              <w:rPr>
                <w:rFonts w:hint="eastAsia" w:ascii="宋体" w:hAnsi="宋体" w:cs="宋体"/>
                <w:b w:val="0"/>
                <w:bCs w:val="0"/>
                <w:i w:val="0"/>
                <w:iCs w:val="0"/>
                <w:color w:val="000000"/>
                <w:sz w:val="24"/>
                <w:szCs w:val="24"/>
                <w:u w:val="none"/>
                <w:lang w:val="en-US" w:eastAsia="zh-CN" w:bidi="ar"/>
              </w:rPr>
              <w:t xml:space="preserve">显示终端</w:t>
            </w:r>
            <w:r>
              <w:rPr>
                <w:rFonts w:hint="eastAsia" w:ascii="宋体" w:hAnsi="宋体" w:eastAsia="宋体" w:cs="宋体"/>
                <w:b w:val="0"/>
                <w:bCs w:val="0"/>
                <w:i w:val="0"/>
                <w:iCs w:val="0"/>
                <w:color w:val="000000"/>
                <w:sz w:val="24"/>
                <w:szCs w:val="24"/>
                <w:u w:val="none"/>
                <w:lang w:val="en-US" w:eastAsia="zh-CN" w:bidi="ar"/>
              </w:rPr>
              <w:t xml:space="preserve">，集中控制系统，可执行各选项控制（配一启动按钮开关和一急停开关）；</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2、摇臂控制：对全室摇臂进行单独或分组控制（上升、下降或暂停，上升或下降到底后摇臂会自动停止），具有防卡，防夹功能；</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3、电源控制：对全室220V进行单独或分组控制；</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4、照明控制：对全室照明进行单独或分组控制；</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5、通风控制：触摸数字无极变频控制，具有频率数字显示功能，可精确控制通风风量；</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6、供水控制：对全室给排水进行控制</w:t>
            </w:r>
            <w:r/>
          </w:p>
          <w:p>
            <w:pPr>
              <w:numPr>
                <w:ilvl w:val="0"/>
                <w:numId w:val="0"/>
              </w:num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7、集中控制系统，可执行各选项控制；</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8、摇臂控制：对全室摇臂进行单独或分组控制（上升、下降或暂停，上升或下降到底后摇臂会自动停止），具有防卡，防夹功能；</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9、电源控制：对全室220V进行单独或分组控制；</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10、照明控制：对全室照明进行单独或分组控制。</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温湿度探测系统</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系统控制箱内配置精密温湿度传感器，实时监测室内的温度和湿度，实时显示当前环境的温度和湿度，为室内环境提供实时数据参考。</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吊装主体框架</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1、采用标准模块化组成，1200×550×195mm（±</w:t>
            </w:r>
            <w:r>
              <w:rPr>
                <w:rFonts w:hint="eastAsia" w:ascii="宋体" w:hAnsi="宋体" w:cs="宋体"/>
                <w:b w:val="0"/>
                <w:bCs w:val="0"/>
                <w:i w:val="0"/>
                <w:iCs w:val="0"/>
                <w:color w:val="000000"/>
                <w:sz w:val="24"/>
                <w:szCs w:val="24"/>
                <w:u w:val="none"/>
                <w:lang w:val="en-US" w:eastAsia="zh-CN" w:bidi="ar"/>
              </w:rPr>
              <w:t xml:space="preserve">10</w:t>
            </w:r>
            <w:r>
              <w:rPr>
                <w:rFonts w:hint="eastAsia" w:ascii="宋体" w:hAnsi="宋体" w:eastAsia="宋体" w:cs="宋体"/>
                <w:b w:val="0"/>
                <w:bCs w:val="0"/>
                <w:i w:val="0"/>
                <w:iCs w:val="0"/>
                <w:color w:val="000000"/>
                <w:sz w:val="24"/>
                <w:szCs w:val="24"/>
                <w:u w:val="none"/>
                <w:lang w:val="en-US" w:eastAsia="zh-CN" w:bidi="ar"/>
              </w:rPr>
              <w:t xml:space="preserve">mm）为一组；</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外形及材质：主框架采用厚度1.8mm-3mm铝合金模具成型，表面经环氧树脂粉末喷涂高温固化处理，舱体下部采用镀锌钢板配色成型，左右装饰条采用实验室铝合金模具型材，表面经环氧树脂粉末喷涂高温固化处理；</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智能摇臂升降系统</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1、动力采用为直流24V减速低压电机；</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2、功能模块采用模具一体成型，形状为椭圆形设计，功能模块可安装高低压电源（低压电源为交直流，可以显示交直流电压）、急停开关，可配网络同时可以扩展多媒体控制；</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3、系统自带障碍物保护功能，当摇臂在运动的过程中遇到障碍物时会自动复位；</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4、摇臂在运动的过程中供应模块的电源处于断电状态。</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5927"/>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电源供应模块</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1、教师主控型，学生低压电源都可接收主控电源发送的锁定信号，在锁定指示灯点亮后，学生接收老师输送的设定电源电压，教师锁定时,学生自己无法操作，可以分组或独立控制；</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2、学生电源采用耐磨、耐腐蚀、耐高温的亮光薄膜面板，学生电源的控制采用按钮式按键，可以随意设置电压，贴片元件生产技术，微电脑控制，采用≥4</w:t>
            </w:r>
            <w:r>
              <w:rPr>
                <w:rFonts w:hint="eastAsia" w:ascii="宋体" w:hAnsi="宋体" w:cs="宋体"/>
                <w:b w:val="0"/>
                <w:bCs w:val="0"/>
                <w:i w:val="0"/>
                <w:iCs w:val="0"/>
                <w:color w:val="000000"/>
                <w:sz w:val="24"/>
                <w:szCs w:val="24"/>
                <w:u w:val="none"/>
                <w:lang w:val="en-US" w:eastAsia="zh-CN" w:bidi="ar"/>
              </w:rPr>
              <w:t xml:space="preserve">英</w:t>
            </w:r>
            <w:r>
              <w:rPr>
                <w:rFonts w:hint="eastAsia" w:ascii="宋体" w:hAnsi="宋体" w:eastAsia="宋体" w:cs="宋体"/>
                <w:b w:val="0"/>
                <w:bCs w:val="0"/>
                <w:i w:val="0"/>
                <w:iCs w:val="0"/>
                <w:color w:val="000000"/>
                <w:sz w:val="24"/>
                <w:szCs w:val="24"/>
                <w:u w:val="none"/>
                <w:lang w:val="en-US" w:eastAsia="zh-CN" w:bidi="ar"/>
              </w:rPr>
              <w:t xml:space="preserve">寸显示</w:t>
            </w:r>
            <w:r>
              <w:rPr>
                <w:rFonts w:hint="eastAsia" w:ascii="宋体" w:hAnsi="宋体" w:cs="宋体"/>
                <w:b w:val="0"/>
                <w:bCs w:val="0"/>
                <w:i w:val="0"/>
                <w:iCs w:val="0"/>
                <w:color w:val="000000"/>
                <w:sz w:val="24"/>
                <w:szCs w:val="24"/>
                <w:u w:val="none"/>
                <w:lang w:val="en-US" w:eastAsia="zh-CN" w:bidi="ar"/>
              </w:rPr>
              <w:t xml:space="preserve">终端</w:t>
            </w:r>
            <w:r>
              <w:rPr>
                <w:rFonts w:hint="eastAsia" w:ascii="宋体" w:hAnsi="宋体" w:eastAsia="宋体" w:cs="宋体"/>
                <w:b w:val="0"/>
                <w:bCs w:val="0"/>
                <w:i w:val="0"/>
                <w:iCs w:val="0"/>
                <w:color w:val="000000"/>
                <w:sz w:val="24"/>
                <w:szCs w:val="24"/>
                <w:u w:val="none"/>
                <w:lang w:val="en-US" w:eastAsia="zh-CN" w:bidi="ar"/>
              </w:rPr>
              <w:t xml:space="preserve">电源学生交直流电压；</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3、学生交流电源通过上下键0～24V电压，最小调节单元可达1V,额定电流2A；</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4、学生直流电源也是通过上下键选取，调节范围为1.5～24V，分辨率可达0.1V,额定电流2A。</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5、接收智能化控制系统控制，内</w:t>
            </w:r>
            <w:r>
              <w:rPr>
                <w:rFonts w:hint="eastAsia" w:ascii="宋体" w:hAnsi="宋体" w:cs="宋体"/>
                <w:b w:val="0"/>
                <w:bCs w:val="0"/>
                <w:i w:val="0"/>
                <w:iCs w:val="0"/>
                <w:color w:val="000000"/>
                <w:sz w:val="24"/>
                <w:szCs w:val="24"/>
                <w:u w:val="none"/>
                <w:lang w:val="en-US" w:eastAsia="zh-CN" w:bidi="ar"/>
              </w:rPr>
              <w:t xml:space="preserve">至少</w:t>
            </w:r>
            <w:r>
              <w:rPr>
                <w:rFonts w:hint="eastAsia" w:ascii="宋体" w:hAnsi="宋体" w:eastAsia="宋体" w:cs="宋体"/>
                <w:b w:val="0"/>
                <w:bCs w:val="0"/>
                <w:i w:val="0"/>
                <w:iCs w:val="0"/>
                <w:color w:val="000000"/>
                <w:sz w:val="24"/>
                <w:szCs w:val="24"/>
                <w:u w:val="none"/>
                <w:lang w:val="en-US" w:eastAsia="zh-CN" w:bidi="ar"/>
              </w:rPr>
              <w:t xml:space="preserve">含</w:t>
            </w:r>
            <w:r>
              <w:rPr>
                <w:rFonts w:hint="eastAsia" w:ascii="宋体" w:hAnsi="宋体" w:cs="宋体"/>
                <w:b w:val="0"/>
                <w:bCs w:val="0"/>
                <w:i w:val="0"/>
                <w:iCs w:val="0"/>
                <w:color w:val="000000"/>
                <w:sz w:val="24"/>
                <w:szCs w:val="24"/>
                <w:u w:val="none"/>
                <w:lang w:val="en-US" w:eastAsia="zh-CN" w:bidi="ar"/>
              </w:rPr>
              <w:t xml:space="preserve">一个</w:t>
            </w:r>
            <w:r>
              <w:rPr>
                <w:rFonts w:hint="eastAsia" w:ascii="宋体" w:hAnsi="宋体" w:eastAsia="宋体" w:cs="宋体"/>
                <w:b w:val="0"/>
                <w:bCs w:val="0"/>
                <w:i w:val="0"/>
                <w:iCs w:val="0"/>
                <w:color w:val="000000"/>
                <w:sz w:val="24"/>
                <w:szCs w:val="24"/>
                <w:u w:val="none"/>
                <w:lang w:val="en-US" w:eastAsia="zh-CN" w:bidi="ar"/>
              </w:rPr>
              <w:t xml:space="preserve">新国标5孔插座；</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6、可以分组或独立控制电源供给。</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7、采用485网络模块接口。</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急停装置</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在系统出现故障时紧急制动，确保实验操作时的安全性。</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供电线路</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2.5mm²，模块化设计，每组模块间采用活接式连接，</w:t>
            </w:r>
            <w:r>
              <w:rPr>
                <w:rFonts w:hint="eastAsia" w:ascii="宋体" w:hAnsi="宋体" w:cs="宋体"/>
                <w:b w:val="0"/>
                <w:bCs w:val="0"/>
                <w:i w:val="0"/>
                <w:iCs w:val="0"/>
                <w:color w:val="000000"/>
                <w:sz w:val="24"/>
                <w:szCs w:val="24"/>
                <w:u w:val="none"/>
                <w:lang w:val="en-US" w:eastAsia="zh-CN" w:bidi="ar"/>
              </w:rPr>
              <w:t xml:space="preserve">以</w:t>
            </w:r>
            <w:r>
              <w:rPr>
                <w:rFonts w:hint="eastAsia" w:ascii="宋体" w:hAnsi="宋体" w:eastAsia="宋体" w:cs="宋体"/>
                <w:b w:val="0"/>
                <w:bCs w:val="0"/>
                <w:i w:val="0"/>
                <w:iCs w:val="0"/>
                <w:color w:val="000000"/>
                <w:sz w:val="24"/>
                <w:szCs w:val="24"/>
                <w:u w:val="none"/>
                <w:lang w:val="en-US" w:eastAsia="zh-CN" w:bidi="ar"/>
              </w:rPr>
              <w:t xml:space="preserve">方便安装、检修；</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2、采用</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2.5mm²电线进行系统布线。</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磨砂光板</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规格：1200</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80mm（±</w:t>
            </w:r>
            <w:r>
              <w:rPr>
                <w:rFonts w:hint="eastAsia" w:ascii="宋体" w:hAnsi="宋体" w:cs="宋体"/>
                <w:b w:val="0"/>
                <w:bCs w:val="0"/>
                <w:i w:val="0"/>
                <w:iCs w:val="0"/>
                <w:color w:val="000000"/>
                <w:sz w:val="24"/>
                <w:szCs w:val="24"/>
                <w:u w:val="none"/>
                <w:lang w:val="en-US" w:eastAsia="zh-CN" w:bidi="ar"/>
              </w:rPr>
              <w:t xml:space="preserve">10</w:t>
            </w:r>
            <w:r>
              <w:rPr>
                <w:rFonts w:hint="eastAsia" w:ascii="宋体" w:hAnsi="宋体" w:eastAsia="宋体" w:cs="宋体"/>
                <w:b w:val="0"/>
                <w:bCs w:val="0"/>
                <w:i w:val="0"/>
                <w:iCs w:val="0"/>
                <w:color w:val="000000"/>
                <w:sz w:val="24"/>
                <w:szCs w:val="24"/>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自动给排水系统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1、自动排水模块1组、水模拟量控制器1组、电源控制器1套、水壶一个、水泵一个，自动保护系统1组；</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所有排水由智能化控制系统集中控制，三联高低位龙头处设置排水接口，接口与学生水槽柜采用硅胶软管（具有防酸、防碱、耐腐蚀功能）连接，接口均采用自动锁紧插拔式连接方式，用时接上，不用时可收起；</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3、当学生水槽柜量达到一定值时系统自动排水、污水经过连接管排至顶部排水管总管后流出，当水槽柜污水排净后排水系统自动关闭，控制系统设置一键排空功能，可一键将管道内所有的污水排空。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给排水接口</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1、给排水接口采用PVC材质；</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2、即插即用，具有高密封性能，即使在供水排水工作时，随时拔掉接口不会有任何滴漏现象。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给水管路</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给水主管选用φ20-32mmPP-R给水管，模块化设计，每组模块间采用活接式连接。</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排水管路</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排水管选用加厚φ50-75mmPVC-U国标管（具有防酸、防碱、耐腐蚀功能），模块化设计，每组模块间采用活接式连接，</w:t>
            </w:r>
            <w:r>
              <w:rPr>
                <w:rFonts w:hint="eastAsia" w:ascii="宋体" w:hAnsi="宋体" w:cs="宋体"/>
                <w:b w:val="0"/>
                <w:bCs w:val="0"/>
                <w:i w:val="0"/>
                <w:iCs w:val="0"/>
                <w:color w:val="000000"/>
                <w:sz w:val="24"/>
                <w:szCs w:val="24"/>
                <w:u w:val="none"/>
                <w:lang w:val="en-US" w:eastAsia="zh-CN" w:bidi="ar"/>
              </w:rPr>
              <w:t xml:space="preserve">以</w:t>
            </w:r>
            <w:r>
              <w:rPr>
                <w:rFonts w:hint="eastAsia" w:ascii="宋体" w:hAnsi="宋体" w:eastAsia="宋体" w:cs="宋体"/>
                <w:b w:val="0"/>
                <w:bCs w:val="0"/>
                <w:i w:val="0"/>
                <w:iCs w:val="0"/>
                <w:color w:val="000000"/>
                <w:sz w:val="24"/>
                <w:szCs w:val="24"/>
                <w:u w:val="none"/>
                <w:lang w:val="en-US" w:eastAsia="zh-CN" w:bidi="ar"/>
              </w:rPr>
              <w:t xml:space="preserve">方便安装、检修。</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吊装端头</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采用ABS材料；整体尺寸555</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440</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190mm</w:t>
            </w:r>
            <w:r>
              <w:rPr>
                <w:rFonts w:hint="eastAsia" w:ascii="宋体" w:hAnsi="宋体" w:cs="宋体"/>
                <w:b w:val="0"/>
                <w:bCs w:val="0"/>
                <w:i w:val="0"/>
                <w:iCs w:val="0"/>
                <w:color w:val="000000"/>
                <w:sz w:val="24"/>
                <w:szCs w:val="24"/>
                <w:u w:val="none"/>
                <w:lang w:val="en-US" w:eastAsia="zh-CN" w:bidi="ar"/>
              </w:rPr>
              <w:t xml:space="preserve">(±10mm）</w:t>
            </w:r>
            <w:r>
              <w:rPr>
                <w:rFonts w:hint="eastAsia" w:ascii="宋体" w:hAnsi="宋体" w:eastAsia="宋体" w:cs="宋体"/>
                <w:b w:val="0"/>
                <w:bCs w:val="0"/>
                <w:i w:val="0"/>
                <w:iCs w:val="0"/>
                <w:color w:val="000000"/>
                <w:sz w:val="24"/>
                <w:szCs w:val="24"/>
                <w:u w:val="none"/>
                <w:lang w:val="en-US" w:eastAsia="zh-CN" w:bidi="ar"/>
              </w:rPr>
              <w:t xml:space="preserve">锥型端头。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系统安装辅件</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1、采用双槽钢横梁吊装方式，减少楼板承重，防止左右晃动，可进行上下、左右的平衡调节；</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2、主要辅件有：三角构件、直角座、龙骨架连接件、吊装挂件、安装连接板等。</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1、规格：2400</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1200</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780mm（±</w:t>
            </w:r>
            <w:r>
              <w:rPr>
                <w:rFonts w:hint="eastAsia" w:ascii="宋体" w:hAnsi="宋体" w:cs="宋体"/>
                <w:b w:val="0"/>
                <w:bCs w:val="0"/>
                <w:i w:val="0"/>
                <w:iCs w:val="0"/>
                <w:color w:val="000000"/>
                <w:sz w:val="24"/>
                <w:szCs w:val="24"/>
                <w:u w:val="none"/>
                <w:lang w:val="en-US" w:eastAsia="zh-CN" w:bidi="ar"/>
              </w:rPr>
              <w:t xml:space="preserve">10</w:t>
            </w:r>
            <w:r>
              <w:rPr>
                <w:rFonts w:hint="eastAsia" w:ascii="宋体" w:hAnsi="宋体" w:eastAsia="宋体" w:cs="宋体"/>
                <w:b w:val="0"/>
                <w:bCs w:val="0"/>
                <w:i w:val="0"/>
                <w:iCs w:val="0"/>
                <w:color w:val="000000"/>
                <w:sz w:val="24"/>
                <w:szCs w:val="24"/>
                <w:u w:val="none"/>
                <w:lang w:val="en-US" w:eastAsia="zh-CN" w:bidi="ar"/>
              </w:rPr>
              <w:t xml:space="preserve">mm）；</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2、台面：</w:t>
            </w:r>
            <w:r>
              <w:rPr>
                <w:rFonts w:hint="eastAsia" w:ascii="宋体" w:hAnsi="宋体" w:cs="宋体"/>
                <w:b w:val="0"/>
                <w:bCs w:val="0"/>
                <w:i w:val="0"/>
                <w:iCs w:val="0"/>
                <w:color w:val="000000"/>
                <w:sz w:val="24"/>
                <w:szCs w:val="24"/>
                <w:u w:val="none"/>
                <w:lang w:val="en-US" w:eastAsia="zh-CN" w:bidi="ar"/>
              </w:rPr>
              <w:t xml:space="preserve">≥</w:t>
            </w:r>
            <w:r>
              <w:rPr>
                <w:rFonts w:hint="eastAsia" w:ascii="宋体" w:hAnsi="宋体" w:eastAsia="宋体" w:cs="宋体"/>
                <w:b w:val="0"/>
                <w:bCs w:val="0"/>
                <w:i w:val="0"/>
                <w:iCs w:val="0"/>
                <w:color w:val="000000"/>
                <w:sz w:val="24"/>
                <w:szCs w:val="24"/>
                <w:u w:val="none"/>
                <w:lang w:val="en-US" w:eastAsia="zh-CN" w:bidi="ar"/>
              </w:rPr>
              <w:t xml:space="preserve">12.7mm厚实芯理化板</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3、台身结构：新型塑铝结构，学生位镂空式，符合人体工程学设计；</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4、桌身：由桌腿、立柱、支撑柱、前横梁、中横梁、后横梁；</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5、桌腿：采用工字型压铸铝一次成型，三段链接；上腿（分左右脚）规格：长560×宽55×高105mm（±</w:t>
            </w:r>
            <w:r>
              <w:rPr>
                <w:rFonts w:hint="eastAsia" w:ascii="宋体" w:hAnsi="宋体" w:cs="宋体"/>
                <w:b w:val="0"/>
                <w:bCs w:val="0"/>
                <w:i w:val="0"/>
                <w:iCs w:val="0"/>
                <w:color w:val="000000"/>
                <w:sz w:val="24"/>
                <w:szCs w:val="24"/>
                <w:u w:val="none"/>
                <w:lang w:val="en-US" w:eastAsia="zh-CN" w:bidi="ar"/>
              </w:rPr>
              <w:t xml:space="preserve">10</w:t>
            </w:r>
            <w:r>
              <w:rPr>
                <w:rFonts w:hint="eastAsia" w:ascii="宋体" w:hAnsi="宋体" w:eastAsia="宋体" w:cs="宋体"/>
                <w:b w:val="0"/>
                <w:bCs w:val="0"/>
                <w:i w:val="0"/>
                <w:iCs w:val="0"/>
                <w:color w:val="000000"/>
                <w:sz w:val="24"/>
                <w:szCs w:val="24"/>
                <w:u w:val="none"/>
                <w:lang w:val="en-US" w:eastAsia="zh-CN" w:bidi="ar"/>
              </w:rPr>
              <w:t xml:space="preserve">mm），壁厚≥2.5mm，内侧设有凹槽；下腿（分左右脚）规格：长520×宽65×高90mm（±</w:t>
            </w:r>
            <w:r>
              <w:rPr>
                <w:rFonts w:hint="eastAsia" w:ascii="宋体" w:hAnsi="宋体" w:cs="宋体"/>
                <w:b w:val="0"/>
                <w:bCs w:val="0"/>
                <w:i w:val="0"/>
                <w:iCs w:val="0"/>
                <w:color w:val="000000"/>
                <w:sz w:val="24"/>
                <w:szCs w:val="24"/>
                <w:u w:val="none"/>
                <w:lang w:val="en-US" w:eastAsia="zh-CN" w:bidi="ar"/>
              </w:rPr>
              <w:t xml:space="preserve">10</w:t>
            </w:r>
            <w:r>
              <w:rPr>
                <w:rFonts w:hint="eastAsia" w:ascii="宋体" w:hAnsi="宋体" w:eastAsia="宋体" w:cs="宋体"/>
                <w:b w:val="0"/>
                <w:bCs w:val="0"/>
                <w:i w:val="0"/>
                <w:iCs w:val="0"/>
                <w:color w:val="000000"/>
                <w:sz w:val="24"/>
                <w:szCs w:val="24"/>
                <w:u w:val="none"/>
                <w:lang w:val="en-US" w:eastAsia="zh-CN" w:bidi="ar"/>
              </w:rPr>
              <w:t xml:space="preserve">mm），壁厚≥2.5mm，内侧设有凹槽；下脚正反面设有塑料卡盖；</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6、立柱：采用40×110mm（±5mm），壁厚≥1.3mm，立柱每端内部有2个铸铝成型的螺丝链接位，内侧设有凹槽，上腿两侧可选装插座方便学生使用；前横梁：30×30mm（±5mm），壁厚≥1.2mm；中横梁：30×30mm（±5mm），壁厚≥1.2mm；后横梁：30×30mm（±5mm）,壁厚≥1.2mm；下横梁固定拉杆:15×95mm（±5mm），壁厚≥1.2mm；</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7、材料采用铝镁合金材料，材料表面经高压静电喷涂环氧树脂防护层，耐酸碱，耐腐蚀处理；</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8、书包斗:尺寸430×270×160mm（±</w:t>
            </w:r>
            <w:r>
              <w:rPr>
                <w:rFonts w:hint="eastAsia" w:ascii="宋体" w:hAnsi="宋体" w:cs="宋体"/>
                <w:b w:val="0"/>
                <w:bCs w:val="0"/>
                <w:i w:val="0"/>
                <w:iCs w:val="0"/>
                <w:color w:val="000000"/>
                <w:sz w:val="24"/>
                <w:szCs w:val="24"/>
                <w:u w:val="none"/>
                <w:lang w:val="en-US" w:eastAsia="zh-CN" w:bidi="ar"/>
              </w:rPr>
              <w:t xml:space="preserve">10</w:t>
            </w:r>
            <w:r>
              <w:rPr>
                <w:rFonts w:hint="eastAsia" w:ascii="宋体" w:hAnsi="宋体" w:eastAsia="宋体" w:cs="宋体"/>
                <w:b w:val="0"/>
                <w:bCs w:val="0"/>
                <w:i w:val="0"/>
                <w:iCs w:val="0"/>
                <w:color w:val="000000"/>
                <w:sz w:val="24"/>
                <w:szCs w:val="24"/>
                <w:u w:val="none"/>
                <w:lang w:val="en-US" w:eastAsia="zh-CN" w:bidi="ar"/>
              </w:rPr>
              <w:t xml:space="preserve">mm）；采用环保型ABS工程塑料一次性注塑成型；</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9、两个书包斗中间设有学生电源盒，尺寸：260×185×140mm（±</w:t>
            </w:r>
            <w:r>
              <w:rPr>
                <w:rFonts w:hint="eastAsia" w:ascii="宋体" w:hAnsi="宋体" w:cs="宋体"/>
                <w:b w:val="0"/>
                <w:bCs w:val="0"/>
                <w:i w:val="0"/>
                <w:iCs w:val="0"/>
                <w:color w:val="000000"/>
                <w:sz w:val="24"/>
                <w:szCs w:val="24"/>
                <w:u w:val="none"/>
                <w:lang w:val="en-US" w:eastAsia="zh-CN" w:bidi="ar"/>
              </w:rPr>
              <w:t xml:space="preserve">10</w:t>
            </w:r>
            <w:r>
              <w:rPr>
                <w:rFonts w:hint="eastAsia" w:ascii="宋体" w:hAnsi="宋体" w:eastAsia="宋体" w:cs="宋体"/>
                <w:b w:val="0"/>
                <w:bCs w:val="0"/>
                <w:i w:val="0"/>
                <w:iCs w:val="0"/>
                <w:color w:val="000000"/>
                <w:sz w:val="24"/>
                <w:szCs w:val="24"/>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1、规格：1000×500×2000mm（±</w:t>
            </w:r>
            <w:r>
              <w:rPr>
                <w:rFonts w:hint="eastAsia" w:ascii="宋体" w:hAnsi="宋体" w:cs="宋体"/>
                <w:b w:val="0"/>
                <w:bCs w:val="0"/>
                <w:i w:val="0"/>
                <w:iCs w:val="0"/>
                <w:color w:val="000000"/>
                <w:sz w:val="24"/>
                <w:szCs w:val="24"/>
                <w:u w:val="none"/>
                <w:lang w:val="en-US" w:eastAsia="zh-CN" w:bidi="ar"/>
              </w:rPr>
              <w:t xml:space="preserve">10</w:t>
            </w:r>
            <w:r>
              <w:rPr>
                <w:rFonts w:hint="eastAsia" w:ascii="宋体" w:hAnsi="宋体" w:eastAsia="宋体" w:cs="宋体"/>
                <w:b w:val="0"/>
                <w:bCs w:val="0"/>
                <w:i w:val="0"/>
                <w:iCs w:val="0"/>
                <w:color w:val="000000"/>
                <w:sz w:val="24"/>
                <w:szCs w:val="24"/>
                <w:u w:val="none"/>
                <w:lang w:val="en-US" w:eastAsia="zh-CN" w:bidi="ar"/>
              </w:rPr>
              <w:t xml:space="preserve">mm）；</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2、柜体：侧板、顶底板采用改性PP材料模具一次成型，表面沙面和光面相结合处理，保证柜体之坚固及密封性，耐腐蚀性强，顶板、底板预留模具成型排风孔，底部镶嵌15mm×30mm×1.2mm（±</w:t>
            </w:r>
            <w:r>
              <w:rPr>
                <w:rFonts w:hint="eastAsia" w:ascii="宋体" w:hAnsi="宋体" w:cs="宋体"/>
                <w:b w:val="0"/>
                <w:bCs w:val="0"/>
                <w:i w:val="0"/>
                <w:iCs w:val="0"/>
                <w:color w:val="000000"/>
                <w:sz w:val="24"/>
                <w:szCs w:val="24"/>
                <w:u w:val="none"/>
                <w:lang w:val="en-US" w:eastAsia="zh-CN" w:bidi="ar"/>
              </w:rPr>
              <w:t xml:space="preserve">5</w:t>
            </w:r>
            <w:r>
              <w:rPr>
                <w:rFonts w:hint="eastAsia" w:ascii="宋体" w:hAnsi="宋体" w:eastAsia="宋体" w:cs="宋体"/>
                <w:b w:val="0"/>
                <w:bCs w:val="0"/>
                <w:i w:val="0"/>
                <w:iCs w:val="0"/>
                <w:color w:val="000000"/>
                <w:sz w:val="24"/>
                <w:szCs w:val="24"/>
                <w:u w:val="none"/>
                <w:lang w:val="en-US" w:eastAsia="zh-CN" w:bidi="ar"/>
              </w:rPr>
              <w:t xml:space="preserve">mm）钢制横梁，承重力强；</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3、下柜柜门：内框采用改性PP材质模具一次成型，外嵌≥5mm厚钢化烤漆玻璃，上下拉手及三角对称五点固定，防止玻璃的松动或开合；伸缩式PP旋转门轴，四角圆弧倒角，内侧弧形圆边，配锁；</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4、上柜柜门：内框采用改性PP材质模具一次成型，外嵌≥5mm厚钢化烤漆玻璃，中间烤漆镂空制作，上下拉手及三角对称五点固定，防止玻璃的松动或开合，伸缩式PP旋转门轴，四角圆弧倒角，内侧弧形圆边，配锁；</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5、层板：上柜配置两块活动层板，下柜配置一块活动层板，层板全部采用改性PP材料模具一次成型，表面沙面和光面相结合处理，四周有阻水边，底部镶嵌两根15mm×30</w:t>
            </w:r>
            <w:r>
              <w:rPr>
                <w:rFonts w:hint="eastAsia" w:ascii="宋体" w:hAnsi="宋体" w:cs="宋体"/>
                <w:b w:val="0"/>
                <w:bCs w:val="0"/>
                <w:i w:val="0"/>
                <w:iCs w:val="0"/>
                <w:color w:val="000000"/>
                <w:sz w:val="24"/>
                <w:szCs w:val="24"/>
                <w:u w:val="none"/>
                <w:lang w:val="en-US" w:eastAsia="zh-CN" w:bidi="ar"/>
              </w:rPr>
              <w:t xml:space="preserve">mm</w:t>
            </w:r>
            <w:r>
              <w:rPr>
                <w:rFonts w:hint="eastAsia" w:ascii="宋体" w:hAnsi="宋体" w:eastAsia="宋体" w:cs="宋体"/>
                <w:b w:val="0"/>
                <w:bCs w:val="0"/>
                <w:i w:val="0"/>
                <w:iCs w:val="0"/>
                <w:color w:val="000000"/>
                <w:sz w:val="24"/>
                <w:szCs w:val="24"/>
                <w:u w:val="none"/>
                <w:lang w:val="en-US" w:eastAsia="zh-CN" w:bidi="ar"/>
              </w:rPr>
              <w:t xml:space="preserve">×1.2mm（±5mm）钢制横梁，承重力强，整体设计为活动式，可随意抽取放在合适的隔层，自由组合各层空间；</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6、拉手：采用改性PP材料模具一次成型，直角梯形四周倒圆与柜门平行，开启方便；</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7、门铰链：采用改性PP材料模具一次成型，伸缩式PP旋转门轴，永不生锈，耐腐蚀性好；</w:t>
            </w:r>
            <w:r>
              <w:rPr>
                <w:rFonts w:hint="eastAsia" w:ascii="宋体" w:hAnsi="宋体" w:eastAsia="宋体" w:cs="宋体"/>
                <w:b w:val="0"/>
                <w:bCs w:val="0"/>
                <w:i w:val="0"/>
                <w:iCs w:val="0"/>
                <w:color w:val="000000"/>
                <w:sz w:val="24"/>
                <w:szCs w:val="24"/>
                <w:u w:val="none"/>
                <w:lang w:val="en-US" w:eastAsia="zh-CN" w:bidi="ar"/>
              </w:rPr>
              <w:br/>
            </w:r>
            <w:r>
              <w:rPr>
                <w:rFonts w:hint="eastAsia" w:ascii="宋体" w:hAnsi="宋体" w:eastAsia="宋体" w:cs="宋体"/>
                <w:b w:val="0"/>
                <w:bCs w:val="0"/>
                <w:i w:val="0"/>
                <w:iCs w:val="0"/>
                <w:color w:val="000000"/>
                <w:sz w:val="24"/>
                <w:szCs w:val="24"/>
                <w:u w:val="none"/>
                <w:lang w:val="en-US" w:eastAsia="zh-CN" w:bidi="ar"/>
              </w:rPr>
              <w:t xml:space="preserve">8、螺丝：不锈钢304材质。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759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氧气传感器</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Next/>
              <w:widowControl/>
              <w:rPr>
                <w:rFonts w:ascii="宋体" w:hAnsi="宋体" w:cs="宋体"/>
                <w:color w:val="000000"/>
                <w:sz w:val="24"/>
                <w:szCs w:val="24"/>
              </w:rPr>
            </w:pPr>
            <w:r>
              <w:rPr>
                <w:rFonts w:hint="eastAsia" w:ascii="宋体" w:hAnsi="宋体" w:cs="宋体"/>
                <w:color w:val="000000"/>
                <w:sz w:val="24"/>
                <w:szCs w:val="24"/>
              </w:rPr>
              <w:t xml:space="preserve">1.测量范围：0～100％，分度：</w:t>
            </w:r>
            <w:r>
              <w:rPr>
                <w:rFonts w:hint="eastAsia" w:ascii="宋体" w:hAnsi="宋体" w:cs="宋体"/>
                <w:color w:val="000000"/>
                <w:sz w:val="24"/>
                <w:szCs w:val="24"/>
                <w:lang w:val="en-US" w:eastAsia="zh-CN"/>
              </w:rPr>
              <w:t xml:space="preserve">不小于</w:t>
            </w:r>
            <w:r>
              <w:rPr>
                <w:rFonts w:hint="eastAsia" w:ascii="宋体" w:hAnsi="宋体" w:cs="宋体"/>
                <w:color w:val="000000"/>
                <w:sz w:val="24"/>
                <w:szCs w:val="24"/>
              </w:rPr>
              <w:t xml:space="preserve">0.1％；准确度：±1%（0-50%)、±2%(50.1%-100%)；最大采样率：</w:t>
            </w:r>
            <w:r>
              <w:rPr>
                <w:rFonts w:hint="eastAsia" w:ascii="宋体" w:hAnsi="宋体" w:cs="宋体"/>
                <w:color w:val="000000"/>
                <w:sz w:val="24"/>
                <w:szCs w:val="24"/>
                <w:lang w:val="en-US" w:eastAsia="zh-CN"/>
              </w:rPr>
              <w:t xml:space="preserve">不低于</w:t>
            </w:r>
            <w:r>
              <w:rPr>
                <w:rFonts w:hint="eastAsia" w:ascii="宋体" w:hAnsi="宋体" w:cs="宋体"/>
                <w:color w:val="000000"/>
                <w:sz w:val="24"/>
                <w:szCs w:val="24"/>
              </w:rPr>
              <w:t xml:space="preserve">5KHz；</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▲2.设有硬件校准按键，可通过按键校准空气中氧气的含量；数据接口输出数字信号，接口具有方向性和自锁功能，可以防止传感器在使用过程中脱落，保证数据传输稳定；</w:t>
            </w:r>
            <w:r>
              <w:rPr>
                <w:rFonts w:hint="eastAsia" w:ascii="宋体" w:hAnsi="宋体" w:cs="宋体"/>
                <w:b/>
                <w:bCs/>
                <w:color w:val="000000"/>
                <w:sz w:val="24"/>
                <w:szCs w:val="24"/>
                <w:lang w:eastAsia="zh-CN"/>
              </w:rPr>
              <w:t xml:space="preserve">（投标文件中提供第三方检测机构出具的</w:t>
            </w:r>
            <w:r>
              <w:rPr>
                <w:rFonts w:hint="eastAsia" w:ascii="宋体" w:hAnsi="宋体" w:eastAsia="宋体" w:cs="宋体"/>
                <w:b/>
                <w:bCs/>
                <w:i w:val="0"/>
                <w:iCs w:val="0"/>
                <w:color w:val="000000"/>
                <w:sz w:val="24"/>
                <w:szCs w:val="24"/>
                <w:u w:val="none"/>
                <w:lang w:val="en-US" w:eastAsia="zh-CN" w:bidi="ar"/>
              </w:rPr>
              <w:t xml:space="preserve">有效期内</w:t>
            </w:r>
            <w:r>
              <w:rPr>
                <w:rFonts w:hint="eastAsia" w:ascii="宋体" w:hAnsi="宋体" w:cs="宋体"/>
                <w:b/>
                <w:bCs/>
                <w:color w:val="000000"/>
                <w:sz w:val="24"/>
                <w:szCs w:val="24"/>
                <w:lang w:eastAsia="zh-CN"/>
              </w:rPr>
              <w:t xml:space="preserve">检验检测报告扫描件、复印件或电子件，报告具有CMA标识并加盖投标人公章。）</w:t>
            </w:r>
            <w:r/>
          </w:p>
          <w:p>
            <w:pPr>
              <w:jc w:val="left"/>
              <w:keepNext/>
              <w:widowControl/>
              <w:rPr>
                <w:rFonts w:hint="eastAsia"/>
              </w:rPr>
            </w:pPr>
            <w:r>
              <w:rPr>
                <w:rFonts w:hint="eastAsia" w:ascii="宋体" w:hAnsi="宋体" w:cs="宋体"/>
                <w:color w:val="000000"/>
                <w:sz w:val="24"/>
                <w:szCs w:val="24"/>
              </w:rPr>
              <w:t xml:space="preserve">3.模块化、可热插拔设计，支持有线通讯、无线通讯和屏幕数据显示三种工作方式；可支持蓝牙无线数据传输；</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4.技术指标：工作温度-20℃～50℃，工作湿度0～99%RH（无冷凝），储存温度-20℃～50℃；</w:t>
            </w:r>
            <w:r/>
          </w:p>
          <w:p>
            <w:pPr>
              <w:jc w:val="left"/>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5.结构：氧气传感器探头外壳直径≤36.8mm，探头部分直径≤19mm，探头整体高度≤50mm，线长≥80cm；</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6.传感器由高强度塑料外壳封装，外壳</w:t>
            </w:r>
            <w:r>
              <w:rPr>
                <w:rFonts w:hint="eastAsia" w:ascii="宋体" w:hAnsi="宋体" w:cs="宋体"/>
                <w:color w:val="000000"/>
                <w:sz w:val="24"/>
                <w:szCs w:val="24"/>
                <w:lang w:val="en-US" w:eastAsia="zh-CN"/>
              </w:rPr>
              <w:t xml:space="preserve">设计</w:t>
            </w:r>
            <w:r>
              <w:rPr>
                <w:rFonts w:hint="eastAsia" w:ascii="宋体" w:hAnsi="宋体" w:cs="宋体"/>
                <w:color w:val="000000"/>
                <w:sz w:val="24"/>
                <w:szCs w:val="24"/>
              </w:rPr>
              <w:t xml:space="preserve">可将传感器固定在多种操作平台和实验装置上；</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7.传感器一体化设计，传感器数据处理电路为双主板设计；</w:t>
            </w:r>
            <w:r/>
          </w:p>
          <w:p>
            <w:pPr>
              <w:jc w:val="left"/>
              <w:keepNext/>
              <w:widowControl/>
              <w:rPr>
                <w:rFonts w:hint="eastAsia" w:ascii="宋体" w:hAnsi="宋体" w:eastAsia="宋体" w:cs="宋体"/>
                <w:b w:val="0"/>
                <w:bCs w:val="0"/>
                <w:i w:val="0"/>
                <w:iCs w:val="0"/>
                <w:color w:val="000000"/>
                <w:sz w:val="24"/>
                <w:szCs w:val="24"/>
                <w:u w:val="none"/>
              </w:rPr>
            </w:pPr>
            <w:r>
              <w:rPr>
                <w:rFonts w:hint="eastAsia" w:ascii="宋体" w:hAnsi="宋体" w:cs="宋体"/>
                <w:color w:val="000000"/>
                <w:sz w:val="24"/>
                <w:szCs w:val="24"/>
              </w:rPr>
              <w:t xml:space="preserve">6.可应用于Windows、Android、iOS、麒麟、统信、鸿蒙操作系统平台。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1.性能：测量范围：0～100000mL/m3，分度：</w:t>
            </w:r>
            <w:r>
              <w:rPr>
                <w:rFonts w:hint="eastAsia" w:ascii="宋体" w:hAnsi="宋体" w:cs="宋体"/>
                <w:color w:val="000000"/>
                <w:sz w:val="24"/>
                <w:szCs w:val="24"/>
                <w:lang w:val="en-US" w:eastAsia="zh-CN"/>
              </w:rPr>
              <w:t xml:space="preserve">不小于</w:t>
            </w:r>
            <w:r>
              <w:rPr>
                <w:rFonts w:hint="eastAsia" w:ascii="宋体" w:hAnsi="宋体" w:cs="宋体"/>
                <w:color w:val="000000"/>
                <w:sz w:val="24"/>
                <w:szCs w:val="24"/>
              </w:rPr>
              <w:t xml:space="preserve">1mL/m3；准确度：±150mL/m3（0mL/m3~1000mL/m3），读数的±15%（1000mL/m3~10000mL/m3）；采样率：≥5KHz</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技术指标：工作温度-10℃～50℃，存储温度-20℃～60℃，工作湿度0～95%RH（无冷凝），响应时间(T90)＜30秒；</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2.结构：传感器外壳设计可将传感器固定在多种操作平台和装置上；</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3.传感器数据处理电路采用SMT生产工艺，可保证传感器经久耐用，数据传输稳定、持续；</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4.采用自锁功能数据接口，输出数字信号，接口具有方向性和自锁功能，可以防止传感器在使用过程中脱落，保证数据传输稳定；</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5.模块化、可热插拔设计，支持有线通讯、无线通讯和屏幕数据显示三种工作方式；</w:t>
            </w:r>
            <w:r/>
          </w:p>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color w:val="000000"/>
                <w:sz w:val="24"/>
                <w:szCs w:val="24"/>
              </w:rPr>
              <w:t xml:space="preserve">6.可应用于Windows、Android、iOS、麒麟、统信、鸿蒙操作系统平台。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实验数据采集处理软件</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color w:val="000000"/>
                <w:sz w:val="24"/>
                <w:szCs w:val="24"/>
              </w:rPr>
              <w:t xml:space="preserve">专用软件包含了大量专用实验模板，预设了操作流程，方便学生操作使用，通用软件具</w:t>
            </w:r>
            <w:r>
              <w:rPr>
                <w:rFonts w:hint="eastAsia" w:ascii="宋体" w:hAnsi="宋体" w:cs="宋体"/>
                <w:color w:val="000000"/>
                <w:sz w:val="24"/>
                <w:szCs w:val="24"/>
              </w:rPr>
              <w:t xml:space="preserve">备视频区域；软件须无需设置参数自动检测传感器，并提供仪表、数值、曲线多种显示风格；软件具有双组合曲线功能及完整的可对数据图线进行拟合的功能，并自动显示拟合的函数表达式；具有中学常用的预设公式，并可根据实验需求自由定义公式；软件内设可调整采样频率范围是0.1~20K；具有完善的数据处理功能，可对无效数据图线的数据进行删除或恢复；可以对实验设置进行保存，生成实验模板；具有实验数据采集过程录播、回放功能；软件可生成实验报告，提供实验报告模板，可导入实验表格数据及插入实验图线并进行分析；学生可在软件中发送实验报告。</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数据采集器</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1.数据采集器作为连接传感器与计算机的桥梁，采用USB协议与电脑通讯；通过USB接口供电，无需外接电源；</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2.内置电源指示灯和工作状态指示灯；内置双处理器主板，采用主频</w:t>
            </w:r>
            <w:r>
              <w:rPr>
                <w:rFonts w:hint="eastAsia" w:ascii="宋体" w:hAnsi="宋体" w:cs="宋体"/>
                <w:color w:val="000000"/>
                <w:sz w:val="24"/>
                <w:szCs w:val="24"/>
                <w:lang w:val="en-US" w:eastAsia="zh-CN"/>
              </w:rPr>
              <w:t xml:space="preserve">不低于</w:t>
            </w:r>
            <w:r>
              <w:rPr>
                <w:rFonts w:hint="eastAsia" w:ascii="宋体" w:hAnsi="宋体" w:cs="宋体"/>
                <w:color w:val="000000"/>
                <w:sz w:val="24"/>
                <w:szCs w:val="24"/>
              </w:rPr>
              <w:t xml:space="preserve">72Mhz高频</w:t>
            </w:r>
            <w:r>
              <w:rPr>
                <w:rFonts w:hint="eastAsia" w:ascii="宋体" w:hAnsi="宋体" w:cs="宋体"/>
                <w:color w:val="000000"/>
                <w:sz w:val="24"/>
                <w:szCs w:val="24"/>
                <w:lang w:val="en-US" w:eastAsia="zh-CN"/>
              </w:rPr>
              <w:t xml:space="preserve">不低于</w:t>
            </w:r>
            <w:r>
              <w:rPr>
                <w:rFonts w:hint="eastAsia" w:ascii="宋体" w:hAnsi="宋体" w:cs="宋体"/>
                <w:color w:val="000000"/>
                <w:sz w:val="24"/>
                <w:szCs w:val="24"/>
              </w:rPr>
              <w:t xml:space="preserve">32位处理器；</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3.模块化结构，可接驳有线接口和无线接口，数据采集器与接口通过SATA接口传输数据，采用插接式结构，可根据实验教学需要，方便有线、无线工作模式切换；</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4.采用自锁功能自锁接口与传感器连接，输出数字信号，接口具有方向性和自锁功能，可以防止传感器在使用过程中脱落，保证数据传输稳定；</w:t>
            </w:r>
            <w:r/>
          </w:p>
          <w:p>
            <w:pPr>
              <w:jc w:val="left"/>
              <w:keepLines w:val="0"/>
              <w:keepNext/>
              <w:widowControl/>
              <w:rPr>
                <w:rFonts w:hint="default" w:ascii="宋体" w:hAnsi="宋体" w:eastAsia="宋体" w:cs="宋体"/>
                <w:b w:val="0"/>
                <w:bCs w:val="0"/>
                <w:i w:val="0"/>
                <w:iCs w:val="0"/>
                <w:color w:val="000000"/>
                <w:sz w:val="24"/>
                <w:szCs w:val="24"/>
                <w:u w:val="none"/>
                <w:lang w:val="en-US" w:eastAsia="zh-CN"/>
              </w:rPr>
              <w:suppressLineNumbers w:val="0"/>
            </w:pPr>
            <w:r>
              <w:rPr>
                <w:rFonts w:hint="eastAsia" w:ascii="宋体" w:hAnsi="宋体" w:cs="宋体"/>
                <w:color w:val="000000"/>
                <w:sz w:val="24"/>
                <w:szCs w:val="24"/>
              </w:rPr>
              <w:t xml:space="preserve">5.四路全数字通道，数据采集器最大采样率</w:t>
            </w:r>
            <w:r>
              <w:rPr>
                <w:rFonts w:hint="eastAsia" w:ascii="宋体" w:hAnsi="宋体" w:cs="宋体"/>
                <w:color w:val="000000"/>
                <w:sz w:val="24"/>
                <w:szCs w:val="24"/>
                <w:lang w:val="en-US" w:eastAsia="zh-CN"/>
              </w:rPr>
              <w:t xml:space="preserve">不低于</w:t>
            </w:r>
            <w:r>
              <w:rPr>
                <w:rFonts w:hint="eastAsia" w:ascii="宋体" w:hAnsi="宋体" w:cs="宋体"/>
                <w:color w:val="000000"/>
                <w:sz w:val="24"/>
                <w:szCs w:val="24"/>
              </w:rPr>
              <w:t xml:space="preserve">80KByte，与传感器采用SPI数据总线进行传感器信息、数据的并行采集，数据采集器任意通道都可以读取传感器上传的数据。</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数据显示模块</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1.独立模块化结构，与各种传感器组合使用，具备数据显示、数据存储、数据上传功能。数据存储频率</w:t>
            </w:r>
            <w:r>
              <w:rPr>
                <w:rFonts w:hint="eastAsia" w:ascii="宋体" w:hAnsi="宋体" w:cs="宋体"/>
                <w:color w:val="000000"/>
                <w:sz w:val="24"/>
                <w:szCs w:val="24"/>
                <w:lang w:val="en-US" w:eastAsia="zh-CN"/>
              </w:rPr>
              <w:t xml:space="preserve">不低于</w:t>
            </w:r>
            <w:r>
              <w:rPr>
                <w:rFonts w:hint="eastAsia" w:ascii="宋体" w:hAnsi="宋体" w:cs="宋体"/>
                <w:color w:val="000000"/>
                <w:sz w:val="24"/>
                <w:szCs w:val="24"/>
              </w:rPr>
              <w:t xml:space="preserve">5Hz，存储容量最大</w:t>
            </w:r>
            <w:r>
              <w:rPr>
                <w:rFonts w:hint="eastAsia" w:ascii="宋体" w:hAnsi="宋体" w:cs="宋体"/>
                <w:color w:val="000000"/>
                <w:sz w:val="24"/>
                <w:szCs w:val="24"/>
                <w:lang w:val="en-US" w:eastAsia="zh-CN"/>
              </w:rPr>
              <w:t xml:space="preserve">不低于</w:t>
            </w:r>
            <w:r>
              <w:rPr>
                <w:rFonts w:hint="eastAsia" w:ascii="宋体" w:hAnsi="宋体" w:cs="宋体"/>
                <w:color w:val="000000"/>
                <w:sz w:val="24"/>
                <w:szCs w:val="24"/>
              </w:rPr>
              <w:t xml:space="preserve">262,144个数据点。</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2.接入后自动识别传感器，实时显示传感器测量数据，支持多值传感器数据显示及存储，数据显示屏刷新频率大于等于10Hz；可将模块存储的测量数据导出至计算机进行数据分析（兼充电）；</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highlight w:val="none"/>
              </w:rPr>
              <w:t xml:space="preserve">3.≥1.77英寸彩</w:t>
            </w:r>
            <w:r>
              <w:rPr>
                <w:rFonts w:hint="eastAsia" w:ascii="宋体" w:hAnsi="宋体" w:cs="宋体"/>
                <w:color w:val="000000"/>
                <w:sz w:val="24"/>
                <w:szCs w:val="24"/>
                <w:highlight w:val="none"/>
                <w:lang w:val="en-US" w:eastAsia="zh-CN"/>
              </w:rPr>
              <w:t xml:space="preserve">色显示终端</w:t>
            </w:r>
            <w:r>
              <w:rPr>
                <w:rFonts w:hint="eastAsia" w:ascii="宋体" w:hAnsi="宋体" w:cs="宋体"/>
                <w:color w:val="000000"/>
                <w:sz w:val="24"/>
                <w:szCs w:val="24"/>
                <w:highlight w:val="none"/>
              </w:rPr>
              <w:t xml:space="preserve">，采用自锁功能自锁接口与传感器连接，接口具有方向性和自锁功能；屏幕可切换显示二维码，通过移动终端设备扫描二维码进行无线连接，采用</w:t>
            </w:r>
            <w:r>
              <w:rPr>
                <w:rFonts w:hint="eastAsia" w:ascii="宋体" w:hAnsi="宋体" w:cs="宋体"/>
                <w:color w:val="000000"/>
                <w:sz w:val="24"/>
                <w:szCs w:val="24"/>
                <w:highlight w:val="none"/>
                <w:lang w:val="en-US" w:eastAsia="zh-CN"/>
              </w:rPr>
              <w:t xml:space="preserve">不低于</w:t>
            </w:r>
            <w:r>
              <w:rPr>
                <w:rFonts w:hint="eastAsia" w:ascii="宋体" w:hAnsi="宋体" w:cs="宋体"/>
                <w:color w:val="000000"/>
                <w:sz w:val="24"/>
                <w:szCs w:val="24"/>
                <w:highlight w:val="none"/>
              </w:rPr>
              <w:t xml:space="preserve">蓝</w:t>
            </w:r>
            <w:r>
              <w:rPr>
                <w:rFonts w:hint="eastAsia" w:ascii="宋体" w:hAnsi="宋体" w:cs="宋体"/>
                <w:color w:val="000000"/>
                <w:sz w:val="24"/>
                <w:szCs w:val="24"/>
              </w:rPr>
              <w:t xml:space="preserve">牙4.0传输协议，可将传感器测量数据实时传输到</w:t>
            </w:r>
            <w:r>
              <w:rPr>
                <w:rFonts w:hint="eastAsia" w:ascii="宋体" w:hAnsi="宋体" w:cs="宋体"/>
                <w:color w:val="000000"/>
                <w:sz w:val="24"/>
                <w:szCs w:val="24"/>
                <w:lang w:val="en-US" w:eastAsia="zh-CN"/>
              </w:rPr>
              <w:t xml:space="preserve">应用软件上</w:t>
            </w:r>
            <w:r>
              <w:rPr>
                <w:rFonts w:hint="eastAsia" w:ascii="宋体" w:hAnsi="宋体" w:cs="宋体"/>
                <w:color w:val="000000"/>
                <w:sz w:val="24"/>
                <w:szCs w:val="24"/>
              </w:rPr>
              <w:t xml:space="preserve">。</w:t>
            </w:r>
            <w:r>
              <w:rPr>
                <w:rFonts w:hint="eastAsia" w:ascii="宋体" w:hAnsi="宋体" w:cs="宋体"/>
                <w:b/>
                <w:bCs/>
                <w:color w:val="000000"/>
                <w:sz w:val="24"/>
                <w:szCs w:val="24"/>
                <w:lang w:eastAsia="zh-CN"/>
              </w:rPr>
              <w:t xml:space="preserve">（投标文件中提供第三方检测机构出具的有效期内检验检测报告扫描件、复印件或电子件，报告具有CMA标识并加盖投标人公章。）</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4.设有按键开关，工作状态下，可通过调动按键开关切换数据显示和二维码界面；</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5.通过移动终端设备可设置数据显示精度以及数据调零，可对数据进行描点绘图处理。</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6.支持Android、iOS 、Windows、鸿蒙操作系统。</w:t>
            </w:r>
            <w:r/>
          </w:p>
          <w:p>
            <w:pPr>
              <w:jc w:val="left"/>
              <w:keepNext/>
              <w:widowControl/>
              <w:rPr>
                <w:rFonts w:hint="eastAsia" w:ascii="宋体" w:hAnsi="宋体" w:eastAsia="宋体" w:cs="宋体"/>
                <w:b w:val="0"/>
                <w:bCs w:val="0"/>
                <w:i w:val="0"/>
                <w:iCs w:val="0"/>
                <w:color w:val="000000"/>
                <w:sz w:val="24"/>
                <w:szCs w:val="24"/>
                <w:u w:val="none"/>
              </w:rPr>
            </w:pPr>
            <w:r>
              <w:rPr>
                <w:rFonts w:hint="eastAsia" w:ascii="宋体" w:hAnsi="宋体" w:cs="宋体"/>
                <w:color w:val="000000"/>
                <w:sz w:val="24"/>
                <w:szCs w:val="24"/>
              </w:rPr>
              <w:t xml:space="preserve">7.采用充电锂电供电，电池容量</w:t>
            </w:r>
            <w:r>
              <w:rPr>
                <w:rFonts w:hint="eastAsia" w:ascii="宋体" w:hAnsi="宋体" w:cs="宋体"/>
                <w:color w:val="000000"/>
                <w:sz w:val="24"/>
                <w:szCs w:val="24"/>
                <w:lang w:val="en-US" w:eastAsia="zh-CN"/>
              </w:rPr>
              <w:t xml:space="preserve">不低于</w:t>
            </w:r>
            <w:r>
              <w:rPr>
                <w:rFonts w:hint="eastAsia" w:ascii="宋体" w:hAnsi="宋体" w:cs="宋体"/>
                <w:color w:val="000000"/>
                <w:sz w:val="24"/>
                <w:szCs w:val="24"/>
              </w:rPr>
              <w:t xml:space="preserve">1100mAh，待机时间≥10小时，采用USB充电接口；</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Next/>
              <w:widowControl/>
              <w:rPr>
                <w:rFonts w:ascii="宋体" w:hAnsi="宋体" w:cs="宋体"/>
                <w:color w:val="000000"/>
                <w:sz w:val="24"/>
                <w:szCs w:val="24"/>
                <w:lang w:bidi="ar"/>
              </w:rPr>
            </w:pPr>
            <w:r>
              <w:rPr>
                <w:rFonts w:hint="eastAsia" w:ascii="宋体" w:hAnsi="宋体" w:eastAsia="宋体" w:cs="宋体"/>
                <w:b/>
                <w:bCs/>
                <w:color w:val="000000"/>
                <w:sz w:val="24"/>
                <w:szCs w:val="24"/>
                <w:lang w:eastAsia="zh-CN" w:bidi="ar"/>
              </w:rPr>
              <w:t xml:space="preserve">▲</w:t>
            </w:r>
            <w:r>
              <w:rPr>
                <w:rFonts w:hint="eastAsia" w:ascii="宋体" w:hAnsi="宋体" w:cs="宋体"/>
                <w:color w:val="000000"/>
                <w:sz w:val="24"/>
                <w:szCs w:val="24"/>
                <w:lang w:bidi="ar"/>
              </w:rPr>
              <w:t xml:space="preserve">1．测量范围:-50°C~+200°C</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分度</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不低于</w:t>
            </w:r>
            <w:r>
              <w:rPr>
                <w:rFonts w:hint="eastAsia" w:ascii="宋体" w:hAnsi="宋体" w:cs="宋体"/>
                <w:color w:val="000000"/>
                <w:sz w:val="24"/>
                <w:szCs w:val="24"/>
                <w:lang w:bidi="ar"/>
              </w:rPr>
              <w:t xml:space="preserve">0.1°C</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准确度</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不低于</w:t>
            </w:r>
            <w:r>
              <w:rPr>
                <w:rFonts w:hint="eastAsia" w:ascii="宋体" w:hAnsi="宋体" w:cs="宋体"/>
                <w:color w:val="000000"/>
                <w:sz w:val="24"/>
                <w:szCs w:val="24"/>
                <w:lang w:bidi="ar"/>
              </w:rPr>
              <w:t xml:space="preserve">0.5°C</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最大采样率</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不低于</w:t>
            </w:r>
            <w:r>
              <w:rPr>
                <w:rFonts w:hint="eastAsia" w:ascii="宋体" w:hAnsi="宋体" w:cs="宋体"/>
                <w:color w:val="000000"/>
                <w:sz w:val="24"/>
                <w:szCs w:val="24"/>
                <w:lang w:bidi="ar"/>
              </w:rPr>
              <w:t xml:space="preserve">5KHz</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使用环境试验：低温存储试验（温度-10℃±2℃，保持时间≥12h）、高温存储试验（温度55℃±2℃，保持时间≥12h）、恒定湿热试验（温度50℃±2℃，湿度 90%RH±3%RH，保持时间≥12h），试验后能正常启动并工作。</w:t>
            </w:r>
            <w:r>
              <w:rPr>
                <w:rFonts w:hint="eastAsia" w:ascii="宋体" w:hAnsi="宋体" w:cs="宋体"/>
                <w:b/>
                <w:bCs/>
                <w:color w:val="000000"/>
                <w:sz w:val="24"/>
                <w:szCs w:val="24"/>
                <w:lang w:eastAsia="zh-CN" w:bidi="ar"/>
              </w:rPr>
              <w:t xml:space="preserve">（</w:t>
            </w:r>
            <w:r>
              <w:rPr>
                <w:rFonts w:hint="eastAsia" w:ascii="宋体" w:hAnsi="宋体" w:eastAsia="宋体" w:cs="宋体"/>
                <w:b/>
                <w:bCs/>
                <w:i w:val="0"/>
                <w:iCs w:val="0"/>
                <w:color w:val="000000"/>
                <w:sz w:val="24"/>
                <w:szCs w:val="24"/>
                <w:u w:val="none"/>
                <w:lang w:val="en-US" w:eastAsia="zh-CN" w:bidi="ar"/>
              </w:rPr>
              <w:t xml:space="preserve">投标文件中提供第三方检测机构出具的有效期内检验检测报告扫描件、复印件或电子件，报告具有CMA标识并加盖投标人公章。）</w:t>
            </w:r>
            <w:r/>
          </w:p>
          <w:p>
            <w:pPr>
              <w:pStyle w:val="737"/>
              <w:ind w:firstLine="0"/>
              <w:jc w:val="left"/>
              <w:spacing w:line="240" w:lineRule="auto"/>
              <w:rPr>
                <w:rFonts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2．采用电路分体式结构；连接插口采用BT接口，具有方向性和自锁功能，可以防止传感器脱落</w:t>
            </w:r>
            <w:r>
              <w:rPr>
                <w:rFonts w:hint="eastAsia" w:ascii="宋体" w:hAnsi="宋体" w:eastAsia="宋体" w:cs="宋体"/>
                <w:color w:val="000000"/>
                <w:sz w:val="24"/>
                <w:szCs w:val="24"/>
                <w:lang w:val="en-US" w:eastAsia="zh-CN" w:bidi="ar"/>
              </w:rPr>
              <w:t xml:space="preserve">并</w:t>
            </w:r>
            <w:r>
              <w:rPr>
                <w:rFonts w:hint="eastAsia" w:ascii="宋体" w:hAnsi="宋体" w:eastAsia="宋体" w:cs="宋体"/>
                <w:color w:val="000000"/>
                <w:sz w:val="24"/>
                <w:szCs w:val="24"/>
                <w:lang w:eastAsia="zh-CN" w:bidi="ar"/>
              </w:rPr>
              <w:t xml:space="preserve">保证数据传输稳定；</w:t>
            </w:r>
            <w:r/>
          </w:p>
          <w:p>
            <w:pPr>
              <w:pStyle w:val="737"/>
              <w:ind w:firstLine="0"/>
              <w:jc w:val="left"/>
              <w:spacing w:line="240" w:lineRule="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3.支持有线通讯、无线通讯和彩屏独立数据显示三种工作方式，支持热插拔，可应用于Windows、Android、iOS、麒麟、统信、鸿蒙操作系统平台；</w:t>
            </w:r>
            <w:r/>
          </w:p>
          <w:p>
            <w:pPr>
              <w:jc w:val="left"/>
              <w:keepNex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4、传感器的敏感元件为铂电阻。当铂电阻感受到温度变化时，其电阻率随温度的升高而增大，通过传感器电路处理后即可转换为温度的变化; </w:t>
            </w:r>
            <w:r/>
          </w:p>
          <w:p>
            <w:pPr>
              <w:jc w:val="left"/>
              <w:keepNext/>
              <w:widowControl/>
              <w:rPr>
                <w:rFonts w:hint="eastAsia" w:ascii="宋体" w:hAnsi="宋体" w:eastAsia="宋体" w:cs="宋体"/>
                <w:b w:val="0"/>
                <w:bCs w:val="0"/>
                <w:i w:val="0"/>
                <w:iCs w:val="0"/>
                <w:color w:val="000000"/>
                <w:sz w:val="24"/>
                <w:szCs w:val="24"/>
                <w:u w:val="none"/>
              </w:rPr>
            </w:pPr>
            <w:r>
              <w:rPr>
                <w:rFonts w:hint="eastAsia" w:ascii="宋体" w:hAnsi="宋体" w:cs="宋体"/>
                <w:color w:val="000000"/>
                <w:sz w:val="24"/>
                <w:szCs w:val="24"/>
                <w:lang w:bidi="ar"/>
              </w:rPr>
              <w:t xml:space="preserve">5、不锈钢探针通过3.5mm</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±0.5mm</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同轴音频插头连接，不锈钢部分:长度为</w:t>
            </w:r>
            <w:r>
              <w:rPr>
                <w:rFonts w:hint="eastAsia" w:ascii="宋体" w:hAnsi="宋体" w:cs="宋体"/>
                <w:color w:val="000000"/>
                <w:sz w:val="24"/>
                <w:szCs w:val="24"/>
                <w:lang w:val="en-US" w:eastAsia="zh-CN" w:bidi="ar"/>
              </w:rPr>
              <w:t xml:space="preserve">不低于</w:t>
            </w:r>
            <w:r>
              <w:rPr>
                <w:rFonts w:hint="eastAsia" w:ascii="宋体" w:hAnsi="宋体" w:cs="宋体"/>
                <w:color w:val="000000"/>
                <w:sz w:val="24"/>
                <w:szCs w:val="24"/>
                <w:lang w:bidi="ar"/>
              </w:rPr>
              <w:t xml:space="preserve">10.5公分，直径3.0</w:t>
            </w:r>
            <w:r>
              <w:rPr>
                <w:rFonts w:hint="eastAsia" w:ascii="宋体" w:hAnsi="宋体" w:cs="宋体"/>
                <w:color w:val="000000"/>
                <w:sz w:val="24"/>
                <w:szCs w:val="24"/>
                <w:lang w:val="en-US" w:eastAsia="zh-CN" w:bidi="ar"/>
              </w:rPr>
              <w:t xml:space="preserve">mm</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±0.5mm</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;探头把手:长度</w:t>
            </w:r>
            <w:r>
              <w:rPr>
                <w:rFonts w:hint="eastAsia" w:ascii="宋体" w:hAnsi="宋体" w:cs="宋体"/>
                <w:color w:val="000000"/>
                <w:sz w:val="24"/>
                <w:szCs w:val="24"/>
                <w:lang w:val="en-US" w:eastAsia="zh-CN" w:bidi="ar"/>
              </w:rPr>
              <w:t xml:space="preserve">不低于</w:t>
            </w:r>
            <w:r>
              <w:rPr>
                <w:rFonts w:hint="eastAsia" w:ascii="宋体" w:hAnsi="宋体" w:cs="宋体"/>
                <w:color w:val="000000"/>
                <w:sz w:val="24"/>
                <w:szCs w:val="24"/>
                <w:lang w:bidi="ar"/>
              </w:rPr>
              <w:t xml:space="preserve">9.5公分，直径为1.23</w:t>
            </w:r>
            <w:r>
              <w:rPr>
                <w:rFonts w:hint="eastAsia" w:ascii="宋体" w:hAnsi="宋体" w:cs="宋体"/>
                <w:color w:val="000000"/>
                <w:sz w:val="24"/>
                <w:szCs w:val="24"/>
                <w:lang w:val="en-US" w:eastAsia="zh-CN" w:bidi="ar"/>
              </w:rPr>
              <w:t xml:space="preserve">cm</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±0.2cm</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。与传感器连接部分采用黑色两芯线，线长</w:t>
            </w:r>
            <w:r>
              <w:rPr>
                <w:rFonts w:hint="eastAsia" w:ascii="宋体" w:hAnsi="宋体" w:cs="宋体"/>
                <w:color w:val="000000"/>
                <w:sz w:val="24"/>
                <w:szCs w:val="24"/>
                <w:lang w:val="en-US" w:eastAsia="zh-CN" w:bidi="ar"/>
              </w:rPr>
              <w:t xml:space="preserve">≥</w:t>
            </w:r>
            <w:r>
              <w:rPr>
                <w:rFonts w:hint="eastAsia" w:ascii="宋体" w:hAnsi="宋体" w:cs="宋体"/>
                <w:color w:val="000000"/>
                <w:sz w:val="24"/>
                <w:szCs w:val="24"/>
                <w:lang w:bidi="ar"/>
              </w:rPr>
              <w:t xml:space="preserve">75</w:t>
            </w:r>
            <w:r>
              <w:rPr>
                <w:rFonts w:hint="eastAsia" w:ascii="宋体" w:hAnsi="宋体" w:cs="宋体"/>
                <w:color w:val="000000"/>
                <w:sz w:val="24"/>
                <w:szCs w:val="24"/>
                <w:lang w:val="en-US" w:eastAsia="zh-CN" w:bidi="ar"/>
              </w:rPr>
              <w:t xml:space="preserve">cm</w:t>
            </w:r>
            <w:r>
              <w:rPr>
                <w:rFonts w:hint="eastAsia" w:ascii="宋体" w:hAnsi="宋体" w:cs="宋体"/>
                <w:color w:val="000000"/>
                <w:sz w:val="24"/>
                <w:szCs w:val="24"/>
                <w:lang w:bidi="ar"/>
              </w:rPr>
              <w:t xml:space="preserve">;传感器侧方设计可将传感器固定在多种操作平台和装置上;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光照度传感器</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1.用于测量光照度性能：测量范围：0 ～6000lx～60000lx，分度：</w:t>
            </w:r>
            <w:r>
              <w:rPr>
                <w:rFonts w:hint="eastAsia" w:ascii="宋体" w:hAnsi="宋体" w:cs="宋体"/>
                <w:color w:val="000000"/>
                <w:sz w:val="24"/>
                <w:szCs w:val="24"/>
                <w:lang w:val="en-US" w:eastAsia="zh-CN"/>
              </w:rPr>
              <w:t xml:space="preserve">不低于</w:t>
            </w:r>
            <w:r>
              <w:rPr>
                <w:rFonts w:hint="eastAsia" w:ascii="宋体" w:hAnsi="宋体" w:cs="宋体"/>
                <w:color w:val="000000"/>
                <w:sz w:val="24"/>
                <w:szCs w:val="24"/>
              </w:rPr>
              <w:t xml:space="preserve">1 lx；准确度：≤100lx或≤10%（读数的）取大值；最大采样率：</w:t>
            </w:r>
            <w:r>
              <w:rPr>
                <w:rFonts w:hint="eastAsia" w:ascii="宋体" w:hAnsi="宋体" w:cs="宋体"/>
                <w:color w:val="000000"/>
                <w:sz w:val="24"/>
                <w:szCs w:val="24"/>
                <w:lang w:val="en-US" w:eastAsia="zh-CN"/>
              </w:rPr>
              <w:t xml:space="preserve">不低于</w:t>
            </w:r>
            <w:r>
              <w:rPr>
                <w:rFonts w:hint="eastAsia" w:ascii="宋体" w:hAnsi="宋体" w:cs="宋体"/>
                <w:color w:val="000000"/>
                <w:sz w:val="24"/>
                <w:szCs w:val="24"/>
              </w:rPr>
              <w:t xml:space="preserve">5KHz；</w:t>
            </w:r>
            <w:r/>
          </w:p>
          <w:p>
            <w:pPr>
              <w:jc w:val="left"/>
              <w:keepNext/>
              <w:widowControl/>
              <w:rPr>
                <w:rFonts w:ascii="宋体" w:hAnsi="宋体" w:cs="宋体"/>
                <w:color w:val="000000"/>
                <w:sz w:val="24"/>
                <w:szCs w:val="24"/>
              </w:rPr>
            </w:pPr>
            <w:r>
              <w:rPr>
                <w:rFonts w:hint="eastAsia" w:ascii="宋体" w:hAnsi="宋体" w:cs="宋体"/>
                <w:color w:val="000000"/>
                <w:sz w:val="24"/>
                <w:szCs w:val="24"/>
              </w:rPr>
              <w:t xml:space="preserve">2.结构：</w:t>
            </w:r>
            <w:r>
              <w:rPr>
                <w:rFonts w:hint="eastAsia" w:ascii="宋体" w:hAnsi="宋体" w:cs="宋体"/>
                <w:color w:val="000000"/>
                <w:sz w:val="24"/>
                <w:szCs w:val="24"/>
                <w:highlight w:val="none"/>
              </w:rPr>
              <w:t xml:space="preserve">传感器外壳设计</w:t>
            </w:r>
            <w:r>
              <w:rPr>
                <w:rFonts w:hint="eastAsia" w:ascii="宋体" w:hAnsi="宋体" w:cs="宋体"/>
                <w:color w:val="000000"/>
                <w:sz w:val="24"/>
                <w:szCs w:val="24"/>
              </w:rPr>
              <w:t xml:space="preserve">可将传感器固定在多种操作平台和装置上；</w:t>
            </w:r>
            <w:r/>
          </w:p>
          <w:p>
            <w:pPr>
              <w:jc w:val="left"/>
              <w:keepNext/>
              <w:widowControl/>
              <w:rPr>
                <w:rFonts w:ascii="宋体" w:hAnsi="宋体" w:cs="宋体"/>
                <w:color w:val="000000"/>
                <w:sz w:val="24"/>
                <w:szCs w:val="24"/>
              </w:rPr>
            </w:pPr>
            <w:r>
              <w:rPr>
                <w:rFonts w:hint="eastAsia" w:ascii="宋体" w:hAnsi="宋体" w:cs="宋体"/>
                <w:color w:val="000000"/>
                <w:sz w:val="24"/>
                <w:szCs w:val="24"/>
              </w:rPr>
              <w:t xml:space="preserve">3.传感器数据处理电路为双主板设计，采用SMT生产工艺，可保证传感器经久耐用，数据传输稳定、持续；</w:t>
            </w:r>
            <w:r/>
          </w:p>
          <w:p>
            <w:pPr>
              <w:jc w:val="left"/>
              <w:keepNext/>
              <w:widowControl/>
              <w:rPr>
                <w:rFonts w:ascii="宋体" w:hAnsi="宋体" w:cs="宋体"/>
                <w:color w:val="000000"/>
                <w:sz w:val="24"/>
                <w:szCs w:val="24"/>
              </w:rPr>
            </w:pPr>
            <w:r>
              <w:rPr>
                <w:rFonts w:hint="eastAsia" w:ascii="宋体" w:hAnsi="宋体" w:cs="宋体"/>
                <w:color w:val="000000"/>
                <w:sz w:val="24"/>
                <w:szCs w:val="24"/>
              </w:rPr>
              <w:t xml:space="preserve">4.采用自锁功能数据接口，输出数字信号，接口具有方向性和自锁功能，可以防止传感器在使用过程中脱落，保证数据传输稳定；</w:t>
            </w:r>
            <w:r/>
          </w:p>
          <w:p>
            <w:pPr>
              <w:jc w:val="left"/>
              <w:keepNext/>
              <w:widowControl/>
              <w:rPr>
                <w:rFonts w:ascii="宋体" w:hAnsi="宋体" w:cs="宋体"/>
                <w:color w:val="000000"/>
                <w:sz w:val="24"/>
                <w:szCs w:val="24"/>
              </w:rPr>
            </w:pPr>
            <w:r>
              <w:rPr>
                <w:rFonts w:hint="eastAsia" w:ascii="宋体" w:hAnsi="宋体" w:cs="宋体"/>
                <w:color w:val="000000"/>
                <w:sz w:val="24"/>
                <w:szCs w:val="24"/>
              </w:rPr>
              <w:t xml:space="preserve">5.模块化、可热插拔设计，支持有线通讯、无线通讯和屏幕数据显示三种工作方式；设有量程切换按键，支持硬件切换传感器量程；</w:t>
            </w:r>
            <w:r/>
          </w:p>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color w:val="000000"/>
                <w:sz w:val="24"/>
                <w:szCs w:val="24"/>
              </w:rPr>
              <w:t xml:space="preserve">6.可应用于Windows、Android、iOS、麒麟、统信、鸿蒙操作系统平台。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相对湿度传感器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1.性能：测量范围：0～100%，分度</w:t>
            </w:r>
            <w:r>
              <w:rPr>
                <w:rFonts w:hint="eastAsia" w:ascii="宋体" w:hAnsi="宋体" w:cs="宋体"/>
                <w:color w:val="000000"/>
                <w:sz w:val="24"/>
                <w:szCs w:val="24"/>
                <w:lang w:val="en-US" w:eastAsia="zh-CN"/>
              </w:rPr>
              <w:t xml:space="preserve">不低于</w:t>
            </w:r>
            <w:r>
              <w:rPr>
                <w:rFonts w:hint="eastAsia" w:ascii="宋体" w:hAnsi="宋体" w:cs="宋体"/>
                <w:color w:val="000000"/>
                <w:sz w:val="24"/>
                <w:szCs w:val="24"/>
              </w:rPr>
              <w:t xml:space="preserve">0.1％；准确度：±5%（20%-70%），±6%（&lt;20%,&gt;70%）；最大采样率：</w:t>
            </w:r>
            <w:r>
              <w:rPr>
                <w:rFonts w:hint="eastAsia" w:ascii="宋体" w:hAnsi="宋体" w:cs="宋体"/>
                <w:color w:val="000000"/>
                <w:sz w:val="24"/>
                <w:szCs w:val="24"/>
                <w:lang w:val="en-US" w:eastAsia="zh-CN"/>
              </w:rPr>
              <w:t xml:space="preserve">不低于</w:t>
            </w:r>
            <w:r>
              <w:rPr>
                <w:rFonts w:hint="eastAsia" w:ascii="宋体" w:hAnsi="宋体" w:cs="宋体"/>
                <w:color w:val="000000"/>
                <w:sz w:val="24"/>
                <w:szCs w:val="24"/>
              </w:rPr>
              <w:t xml:space="preserve">5KHz；</w:t>
            </w:r>
            <w:r/>
          </w:p>
          <w:p>
            <w:pPr>
              <w:jc w:val="left"/>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2.技术指标：探管</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φ9mm，长度</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57mm，工作温度-40℃～100℃，存储温度-40℃～125℃，压力范围700～1100mbar，响应时间(T90)＜5秒；</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highlight w:val="none"/>
              </w:rPr>
              <w:t xml:space="preserve">3.结构：传感器外壳设计</w:t>
            </w:r>
            <w:r>
              <w:rPr>
                <w:rFonts w:hint="eastAsia" w:ascii="宋体" w:hAnsi="宋体" w:cs="宋体"/>
                <w:color w:val="000000"/>
                <w:sz w:val="24"/>
                <w:szCs w:val="24"/>
              </w:rPr>
              <w:t xml:space="preserve">可将传感器固定在多种操作平台和装置上；</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4.传感器数据处理电路为双主板设计，采用SMT生产工艺，可保证传感器经久耐用，数据传输稳定、持续；</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5.采用自锁功能数据接口，输出数字信号，接口具有方向性和自锁功能，可以防止传感器在使用过程中脱落，保证数据传输稳定；</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6.模块化、可热插拔设计，支持有线通讯、无线通讯和屏幕数据显示三种工作方式；</w:t>
            </w:r>
            <w:r/>
          </w:p>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color w:val="000000"/>
                <w:sz w:val="24"/>
                <w:szCs w:val="24"/>
              </w:rPr>
              <w:t xml:space="preserve">7.可应用于Windows、Android、iOS、麒麟、统信、鸿蒙操作系统平台。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乙醇传感器</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1.性能：量程：0%~3%，分度：0.01%；准确度：±0.50％；最大采样率：</w:t>
            </w:r>
            <w:r>
              <w:rPr>
                <w:rFonts w:hint="eastAsia" w:ascii="宋体" w:hAnsi="宋体" w:cs="宋体"/>
                <w:color w:val="000000"/>
                <w:sz w:val="24"/>
                <w:szCs w:val="24"/>
                <w:lang w:val="en-US" w:eastAsia="zh-CN"/>
              </w:rPr>
              <w:t xml:space="preserve">不低于</w:t>
            </w:r>
            <w:r>
              <w:rPr>
                <w:rFonts w:hint="eastAsia" w:ascii="宋体" w:hAnsi="宋体" w:cs="宋体"/>
                <w:color w:val="000000"/>
                <w:sz w:val="24"/>
                <w:szCs w:val="24"/>
              </w:rPr>
              <w:t xml:space="preserve">5KHz；</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2.结构：</w:t>
            </w:r>
            <w:r>
              <w:rPr>
                <w:rFonts w:hint="eastAsia" w:ascii="宋体" w:hAnsi="宋体" w:cs="宋体"/>
                <w:color w:val="000000"/>
                <w:sz w:val="24"/>
                <w:szCs w:val="24"/>
                <w:highlight w:val="none"/>
              </w:rPr>
              <w:t xml:space="preserve">乙醇探头顶头≤Φ10.5mm，高度≤45mm。传感器由高强度塑料外壳封装，外壳设</w:t>
            </w:r>
            <w:r>
              <w:rPr>
                <w:rFonts w:hint="eastAsia" w:ascii="宋体" w:hAnsi="宋体" w:cs="宋体"/>
                <w:color w:val="000000"/>
                <w:sz w:val="24"/>
                <w:szCs w:val="24"/>
                <w:highlight w:val="none"/>
                <w:lang w:val="en-US" w:eastAsia="zh-CN"/>
              </w:rPr>
              <w:t xml:space="preserve">计</w:t>
            </w:r>
            <w:r>
              <w:rPr>
                <w:rFonts w:hint="eastAsia" w:ascii="宋体" w:hAnsi="宋体" w:cs="宋体"/>
                <w:color w:val="000000"/>
                <w:sz w:val="24"/>
                <w:szCs w:val="24"/>
              </w:rPr>
              <w:t xml:space="preserve">可将传感器固定在多种操作平台和实验装置上；传感器数据处理电路为双主板设计，采用SMT生产工艺，可保证传感器经久耐用，数据传输稳定、持续；</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3.采用自锁功能数据接口，输出数字信号，接口具有方向性和自锁功能，可以防止传感器在使用过程中脱落，保证数据传输稳定；</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4.模块化、可热插拔设计，支持有线通讯、无线通讯和屏幕数据显示，可支持蓝牙无线数据传输；</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设有调零按键，支持硬件数据调零和软件数据调零；</w:t>
            </w:r>
            <w:r/>
          </w:p>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color w:val="000000"/>
                <w:sz w:val="24"/>
                <w:szCs w:val="24"/>
              </w:rPr>
              <w:t xml:space="preserve">5.可应用于Windows、Android、iOS、麒麟、统信、鸿蒙操作系统平台。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多量程电导率传感器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Next/>
              <w:widowControl/>
              <w:rPr>
                <w:rFonts w:hint="eastAsia" w:ascii="宋体" w:hAnsi="宋体" w:cs="宋体"/>
                <w:color w:val="000000"/>
                <w:sz w:val="24"/>
                <w:szCs w:val="24"/>
              </w:rPr>
            </w:pPr>
            <w:r>
              <w:rPr>
                <w:rFonts w:hint="eastAsia" w:ascii="宋体" w:hAnsi="宋体" w:cs="宋体"/>
                <w:b/>
                <w:bCs/>
                <w:color w:val="000000"/>
                <w:sz w:val="24"/>
                <w:szCs w:val="24"/>
                <w:lang w:bidi="ar"/>
              </w:rPr>
              <w:t xml:space="preserve">▲</w:t>
            </w:r>
            <w:r>
              <w:rPr>
                <w:rFonts w:hint="eastAsia" w:ascii="宋体" w:hAnsi="宋体" w:cs="宋体"/>
                <w:color w:val="000000"/>
                <w:sz w:val="24"/>
                <w:szCs w:val="24"/>
              </w:rPr>
              <w:t xml:space="preserve">1.测量范围：0</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20000μS/cm；分度：≤10μS/cm</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测量范围：0~2000μS/cm；分度：≤1μS/cm</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测量范围：0~200μS/cm；分度：≤0.1μS/cm；</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准确度：0μS/cm~200μS/cm档：≤</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4μS/cm;;0μS/cm~2000μS/cm档：≤</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40μS/cm;;0μS/cm~20000μS/cm档：≤±400μS/cm:；采样率：</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rPr>
              <w:t xml:space="preserve">5KHz；</w:t>
            </w:r>
            <w:r>
              <w:rPr>
                <w:rFonts w:hint="eastAsia" w:ascii="宋体" w:hAnsi="宋体" w:cs="宋体"/>
                <w:b/>
                <w:bCs/>
                <w:color w:val="000000"/>
                <w:sz w:val="24"/>
                <w:szCs w:val="24"/>
                <w:lang w:eastAsia="zh-CN"/>
              </w:rPr>
              <w:t xml:space="preserve">（投标文件中提供第三方检测机构出具的有效期内检验检测报告扫描件、复印件或电子件，报告具有CMA标识并加盖投标人公章。）</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2.采用自锁功能数据接口，输出数字信号，接口具有方向性和自锁功能；设有量程切换按键，支持硬件切换传感器量程；可应用于Windows、Android、iOS、统信、鸿蒙操作系统平台。</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3.使用环境试验：低温存储试验（温度-10℃±2℃，保持时间≥12h）、高温存储试验（温度55℃±2℃，保持时间≥12h）、恒定湿热试验（温度50℃±2℃，湿度90%RH±3%RH，保持时间≥12h），试验后能正常启动并工作。</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4.技术指标：温度范围：0-100℃（玻璃），电缆长度：≥1m，电极杆长度：≥150mm，电极杆直径：≤12mm；</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5.结构：使用BNC连接器方式与电极连接；传感器数据处理电路为双主板设计，采用SMT生产工艺，可保证传感器经久耐用，数据传输稳定、持续；</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6.模块化、可热插拔设计，支持有线通讯、无线通讯和屏幕数据显示三种工作方式；</w:t>
            </w:r>
            <w:r/>
          </w:p>
          <w:p>
            <w:pPr>
              <w:jc w:val="left"/>
              <w:keepNext/>
              <w:widowControl/>
              <w:rPr>
                <w:rFonts w:hint="eastAsia" w:ascii="宋体" w:hAnsi="宋体" w:cs="宋体"/>
                <w:color w:val="000000"/>
                <w:sz w:val="24"/>
                <w:szCs w:val="24"/>
              </w:rPr>
            </w:pPr>
            <w:r/>
            <w:bookmarkStart w:id="12" w:name="OLE_LINK38"/>
            <w:r>
              <w:rPr>
                <w:rFonts w:hint="eastAsia" w:ascii="宋体" w:hAnsi="宋体" w:cs="宋体"/>
                <w:color w:val="000000"/>
                <w:sz w:val="24"/>
                <w:szCs w:val="24"/>
              </w:rPr>
              <w:t xml:space="preserve">公示期内实验性能检测：</w:t>
            </w:r>
            <w:bookmarkEnd w:id="12"/>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1.实验装置实时捕捉反应器皿内动态反应的颜色变化和现象。</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2.同步通过多量程电导率、pH传感器采集微观数据进行数据记录。</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3.实验时，烧杯中宏观的溶液混合、沉淀生成等现象作为视频背景，软件将实时数据以动态曲线或数字形式叠加显示，形成"现象-数据"双重视窗。</w:t>
            </w:r>
            <w:r/>
          </w:p>
          <w:p>
            <w:pPr>
              <w:jc w:val="left"/>
              <w:keepNext/>
              <w:widowControl/>
              <w:rPr>
                <w:rFonts w:hint="eastAsia" w:ascii="宋体" w:hAnsi="宋体" w:eastAsia="宋体" w:cs="宋体"/>
                <w:b w:val="0"/>
                <w:bCs w:val="0"/>
                <w:i w:val="0"/>
                <w:iCs w:val="0"/>
                <w:color w:val="000000"/>
                <w:sz w:val="24"/>
                <w:szCs w:val="24"/>
                <w:u w:val="none"/>
              </w:rPr>
            </w:pPr>
            <w:r>
              <w:rPr>
                <w:rFonts w:hint="eastAsia" w:ascii="宋体" w:hAnsi="宋体" w:cs="宋体"/>
                <w:color w:val="000000"/>
                <w:sz w:val="24"/>
                <w:szCs w:val="24"/>
              </w:rPr>
              <w:t xml:space="preserve">4.系统支持多组数据对比分析，通过虚实融合的可视化技术，将传统教学中难以观察的离子重组过程转化为可量化的动态图谱。</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色度传感器</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1.三波长光源（R、G、B）测量有色溶液的透光率/吸光度数据；</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性能：测量范围：透光率0～100％，分度：</w:t>
            </w:r>
            <w:r>
              <w:rPr>
                <w:rFonts w:hint="eastAsia" w:ascii="宋体" w:hAnsi="宋体" w:cs="宋体"/>
                <w:color w:val="000000"/>
                <w:sz w:val="24"/>
                <w:szCs w:val="24"/>
                <w:lang w:val="en-US" w:eastAsia="zh-CN"/>
              </w:rPr>
              <w:t xml:space="preserve">不低于</w:t>
            </w:r>
            <w:r>
              <w:rPr>
                <w:rFonts w:hint="eastAsia" w:ascii="宋体" w:hAnsi="宋体" w:cs="宋体"/>
                <w:color w:val="000000"/>
                <w:sz w:val="24"/>
                <w:szCs w:val="24"/>
              </w:rPr>
              <w:t xml:space="preserve">0.1％；准确度：R偏差：±5%；G偏差：±2%；B偏差：±5%；最大采样率：</w:t>
            </w:r>
            <w:r>
              <w:rPr>
                <w:rFonts w:hint="eastAsia" w:ascii="宋体" w:hAnsi="宋体" w:cs="宋体"/>
                <w:color w:val="000000"/>
                <w:sz w:val="24"/>
                <w:szCs w:val="24"/>
                <w:lang w:val="en-US" w:eastAsia="zh-CN"/>
              </w:rPr>
              <w:t xml:space="preserve">不低于</w:t>
            </w:r>
            <w:r>
              <w:rPr>
                <w:rFonts w:hint="eastAsia" w:ascii="宋体" w:hAnsi="宋体" w:cs="宋体"/>
                <w:color w:val="000000"/>
                <w:sz w:val="24"/>
                <w:szCs w:val="24"/>
              </w:rPr>
              <w:t xml:space="preserve">1KHz；</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2.传感器由高强度塑料外壳封装，外壳设</w:t>
            </w:r>
            <w:r>
              <w:rPr>
                <w:rFonts w:hint="eastAsia" w:ascii="宋体" w:hAnsi="宋体" w:cs="宋体"/>
                <w:color w:val="000000"/>
                <w:sz w:val="24"/>
                <w:szCs w:val="24"/>
                <w:lang w:val="en-US" w:eastAsia="zh-CN"/>
              </w:rPr>
              <w:t xml:space="preserve">计</w:t>
            </w:r>
            <w:r>
              <w:rPr>
                <w:rFonts w:hint="eastAsia" w:ascii="宋体" w:hAnsi="宋体" w:cs="宋体"/>
                <w:color w:val="000000"/>
                <w:sz w:val="24"/>
                <w:szCs w:val="24"/>
              </w:rPr>
              <w:t xml:space="preserve">可将传感器固定在多种操作平台和实验装置上；</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3.传感器一体化设计，传感器数据处理电路为双主板设计，采用SMT生产工艺，可保证传感器经久耐用，数据传输稳定、持续；</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4.采用自锁功能数据接口，输出数字信号，接口具有方向性和自锁功能；</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5.模块化、可热插拔设计，支持有线通讯、无线通讯和屏幕数据显示三种工作方式；可支持蓝牙无线数据传输；</w:t>
            </w:r>
            <w:r/>
          </w:p>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color w:val="000000"/>
                <w:sz w:val="24"/>
                <w:szCs w:val="24"/>
              </w:rPr>
              <w:t xml:space="preserve">6.可应用于Windows、Android、iOS、麒麟、统信、鸿蒙操作系统平台。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相对压强传感器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1.性能：测量范围：-20kPa~+20kPa；分度：≤0.01 kPa；准确度：≥0.2kPa；采样率：≥5KHz；</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2.结构：塑料软管外径≥Φ6，内径≥Φ4，长≥65mm，并增加配备一个塑料软管外径≥Φ4，内径≥Φ2.5，≥长15mm，方便可以连接多种设备进行实验；</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highlight w:val="none"/>
              </w:rPr>
              <w:t xml:space="preserve">传感器外</w:t>
            </w:r>
            <w:r>
              <w:rPr>
                <w:rFonts w:hint="eastAsia" w:ascii="宋体" w:hAnsi="宋体" w:cs="宋体"/>
                <w:color w:val="000000"/>
                <w:sz w:val="24"/>
                <w:szCs w:val="24"/>
              </w:rPr>
              <w:t xml:space="preserve">壳设计可将传感器固定在多种操作平台和装置上；</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4.传感器数据处理电路为双主板设计，采用SMT生产工艺，可保证传感器经久耐用，数据传输稳定、持续；</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5.采用自锁功能数据接口，输出数字信号，接口具有方向性和自锁功能，可以防止传感器在使用过程中脱落，保证数据传输稳定；</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6.模块化、可热插拔设计，支持有线通讯、无线通讯和屏幕数据显示三种工作方式；</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7.设有调零按键，支持硬件数据调零和软件数据调零；</w:t>
            </w:r>
            <w:r/>
          </w:p>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color w:val="000000"/>
                <w:sz w:val="24"/>
                <w:szCs w:val="24"/>
              </w:rPr>
              <w:t xml:space="preserve">8.可应用于Windows、Android、iOS、麒麟、统信、鸿蒙操作系统平台；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浑浊度传感器</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1.用于测量待测溶液的浑浊程度；</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2.性能：测量范围：0~400NTU；分度：≤0.1 NTU；准确度：≥±30NTU（FS）；采样率：≥5KHz；</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3.结构：内置比色瓶≥40*18mm，5ml，光滑透明不易反光、留指纹等痕迹；并配有瓶座、盖子。</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highlight w:val="none"/>
              </w:rPr>
              <w:t xml:space="preserve">传感器由</w:t>
            </w:r>
            <w:r>
              <w:rPr>
                <w:rFonts w:hint="eastAsia" w:ascii="宋体" w:hAnsi="宋体" w:cs="宋体"/>
                <w:color w:val="000000"/>
                <w:sz w:val="24"/>
                <w:szCs w:val="24"/>
              </w:rPr>
              <w:t xml:space="preserve">高强度塑料外壳封装，采用注塑工艺，材质为黑色ABS。外壳设计可将传感器固定在多种操作平台和装置上；</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5.传感器数据处理电路为双主板设计，采用SMT生产工艺，可保证传感器经久耐用，数据传输稳定、持续；</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6.采用自锁功能数据接口，输出数字信号，接口具有方向性和自锁功能，可以防止传感器在使用过程中脱落，保证数据传输稳定；</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7.模块化、可热插拔设计，支持有线通讯、无线通讯和屏幕数据显示三种工作方式；</w:t>
            </w:r>
            <w:r/>
          </w:p>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color w:val="000000"/>
                <w:sz w:val="24"/>
                <w:szCs w:val="24"/>
              </w:rPr>
              <w:t xml:space="preserve">8.可应用于Windows、Android、iOS、麒麟、统信、鸿蒙操作系统平台。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密封实验套件</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color w:val="000000"/>
                <w:sz w:val="24"/>
                <w:szCs w:val="24"/>
              </w:rPr>
              <w:t xml:space="preserve">密封实验套件由5只5号橡胶塞（配5种孔径：单孔φ3、φ4、φ12、φ18；双孔φ4）、4只硅胶塞（配4种孔径：单孔φ4、φ12、φ18；双孔φ4）、1只150mL反应瓶、2只硅胶环、2只等径气管快速接头、2只变径气管快速接头、3条外径φ4mm软管组成。与生化传感器及常用实验室器皿配套使用，完成中学相关实验及探究活动。</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多用途生化传感器支架</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1.由机械臂、传感器电极夹及固定夹组成，</w:t>
            </w:r>
            <w:r/>
          </w:p>
          <w:p>
            <w:pPr>
              <w:jc w:val="left"/>
              <w:keepNext/>
              <w:widowControl/>
              <w:rPr>
                <w:rFonts w:hint="eastAsia" w:ascii="宋体" w:hAnsi="宋体" w:cs="宋体"/>
                <w:color w:val="000000"/>
                <w:sz w:val="24"/>
                <w:szCs w:val="24"/>
              </w:rPr>
            </w:pPr>
            <w:r>
              <w:rPr>
                <w:rFonts w:hint="eastAsia" w:ascii="宋体" w:hAnsi="宋体" w:cs="宋体"/>
                <w:color w:val="000000"/>
                <w:sz w:val="24"/>
                <w:szCs w:val="24"/>
              </w:rPr>
              <w:t xml:space="preserve">2.机械臂固定在实验台边，能在三维空间内灵活移动并准确定位，稳定性好。</w:t>
            </w:r>
            <w:r/>
          </w:p>
          <w:p>
            <w:pPr>
              <w:jc w:val="left"/>
              <w:keepNext/>
              <w:widowControl/>
              <w:rPr>
                <w:rFonts w:hint="eastAsia" w:ascii="宋体" w:hAnsi="宋体" w:cs="宋体"/>
                <w:color w:val="000000"/>
                <w:sz w:val="24"/>
                <w:szCs w:val="24"/>
                <w:highlight w:val="none"/>
              </w:rPr>
            </w:pPr>
            <w:r>
              <w:rPr>
                <w:rFonts w:hint="eastAsia" w:ascii="宋体" w:hAnsi="宋体" w:cs="宋体"/>
                <w:color w:val="000000"/>
                <w:sz w:val="24"/>
                <w:szCs w:val="24"/>
              </w:rPr>
              <w:t xml:space="preserve">3.电极夹口径适合常用生化传感器的电极，方便生化实验操作，具有保护传感器不受损坏、提高空间利用率和实验效率功能</w:t>
            </w:r>
            <w:r>
              <w:rPr>
                <w:rFonts w:hint="eastAsia" w:ascii="宋体" w:hAnsi="宋体" w:cs="宋体"/>
                <w:color w:val="000000"/>
                <w:sz w:val="24"/>
                <w:szCs w:val="24"/>
                <w:highlight w:val="none"/>
              </w:rPr>
              <w:t xml:space="preserve">。</w:t>
            </w:r>
            <w:r/>
          </w:p>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color w:val="000000"/>
                <w:sz w:val="24"/>
                <w:szCs w:val="24"/>
                <w:highlight w:val="none"/>
              </w:rPr>
              <w:t xml:space="preserve">4.机械臂长度：≥600mm。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教师数码显微镜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numPr>
                <w:ilvl w:val="0"/>
                <w:numId w:val="11"/>
              </w:num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t xml:space="preserve">便携一体式智能</w:t>
            </w:r>
            <w:r>
              <w:rPr>
                <w:rFonts w:hint="eastAsia" w:ascii="宋体" w:hAnsi="宋体" w:cs="宋体"/>
                <w:b w:val="0"/>
                <w:bCs w:val="0"/>
                <w:i w:val="0"/>
                <w:iCs w:val="0"/>
                <w:color w:val="000000"/>
                <w:sz w:val="24"/>
                <w:szCs w:val="24"/>
                <w:u w:val="none"/>
                <w:lang w:val="en-US" w:eastAsia="zh-CN"/>
              </w:rPr>
              <w:t xml:space="preserve">终端</w:t>
            </w:r>
            <w:r>
              <w:rPr>
                <w:rFonts w:hint="eastAsia" w:ascii="宋体" w:hAnsi="宋体" w:eastAsia="宋体" w:cs="宋体"/>
                <w:b w:val="0"/>
                <w:bCs w:val="0"/>
                <w:i w:val="0"/>
                <w:iCs w:val="0"/>
                <w:color w:val="000000"/>
                <w:sz w:val="24"/>
                <w:szCs w:val="24"/>
                <w:u w:val="none"/>
              </w:rPr>
              <w:t xml:space="preserve">输出：多点触摸屏，静态拍照分辨率</w:t>
            </w:r>
            <w:r>
              <w:rPr>
                <w:rFonts w:hint="eastAsia" w:ascii="宋体" w:hAnsi="宋体" w:eastAsia="宋体" w:cs="宋体"/>
                <w:b w:val="0"/>
                <w:bCs w:val="0"/>
                <w:i w:val="0"/>
                <w:iCs w:val="0"/>
                <w:color w:val="000000"/>
                <w:sz w:val="24"/>
                <w:szCs w:val="24"/>
                <w:u w:val="none"/>
                <w:lang w:val="en-US" w:eastAsia="zh-CN"/>
              </w:rPr>
              <w:t xml:space="preserve">≥</w:t>
            </w:r>
            <w:r>
              <w:rPr>
                <w:rFonts w:hint="eastAsia" w:ascii="宋体" w:hAnsi="宋体" w:eastAsia="宋体" w:cs="宋体"/>
                <w:b w:val="0"/>
                <w:bCs w:val="0"/>
                <w:i w:val="0"/>
                <w:iCs w:val="0"/>
                <w:color w:val="000000"/>
                <w:sz w:val="24"/>
                <w:szCs w:val="24"/>
                <w:u w:val="none"/>
              </w:rPr>
              <w:t xml:space="preserve">4608</w:t>
            </w:r>
            <w:r>
              <w:rPr>
                <w:rFonts w:hint="eastAsia" w:ascii="宋体" w:hAnsi="宋体" w:cs="宋体"/>
                <w:b w:val="0"/>
                <w:bCs w:val="0"/>
                <w:i w:val="0"/>
                <w:iCs w:val="0"/>
                <w:color w:val="000000"/>
                <w:sz w:val="24"/>
                <w:szCs w:val="24"/>
                <w:u w:val="none"/>
                <w:lang w:val="en-US" w:eastAsia="zh-CN"/>
              </w:rPr>
              <w:t xml:space="preserve">×</w:t>
            </w:r>
            <w:r>
              <w:rPr>
                <w:rFonts w:hint="eastAsia" w:ascii="宋体" w:hAnsi="宋体" w:eastAsia="宋体" w:cs="宋体"/>
                <w:b w:val="0"/>
                <w:bCs w:val="0"/>
                <w:i w:val="0"/>
                <w:iCs w:val="0"/>
                <w:color w:val="000000"/>
                <w:sz w:val="24"/>
                <w:szCs w:val="24"/>
                <w:u w:val="none"/>
              </w:rPr>
              <w:t xml:space="preserve">3456；</w:t>
            </w:r>
            <w:r>
              <w:rPr>
                <w:rFonts w:hint="eastAsia" w:ascii="宋体" w:hAnsi="宋体" w:eastAsia="宋体" w:cs="宋体"/>
                <w:b w:val="0"/>
                <w:bCs w:val="0"/>
                <w:i w:val="0"/>
                <w:iCs w:val="0"/>
                <w:color w:val="000000"/>
                <w:sz w:val="24"/>
                <w:szCs w:val="24"/>
                <w:u w:val="none"/>
                <w:lang w:val="en-US" w:eastAsia="zh-CN"/>
              </w:rPr>
              <w:t xml:space="preserve">显示</w:t>
            </w:r>
            <w:r>
              <w:rPr>
                <w:rFonts w:hint="eastAsia" w:ascii="宋体" w:hAnsi="宋体" w:eastAsia="宋体" w:cs="宋体"/>
                <w:b w:val="0"/>
                <w:bCs w:val="0"/>
                <w:i w:val="0"/>
                <w:iCs w:val="0"/>
                <w:color w:val="000000"/>
                <w:sz w:val="24"/>
                <w:szCs w:val="24"/>
                <w:u w:val="none"/>
              </w:rPr>
              <w:t xml:space="preserve">尺寸≥10.1英寸；内存容量≥2G;存储容量≥8G；</w:t>
            </w:r>
            <w:r/>
          </w:p>
          <w:p>
            <w:pPr>
              <w:numPr>
                <w:ilvl w:val="0"/>
                <w:numId w:val="0"/>
              </w:numPr>
              <w:jc w:val="left"/>
              <w:keepLines w:val="0"/>
              <w:keepNex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u w:val="none"/>
              </w:rPr>
              <w:t xml:space="preserve">2、操作系统：Android 10以上操作系统或其</w:t>
            </w:r>
            <w:r>
              <w:rPr>
                <w:rFonts w:hint="eastAsia" w:ascii="宋体" w:hAnsi="宋体" w:eastAsia="宋体" w:cs="宋体"/>
                <w:b w:val="0"/>
                <w:bCs w:val="0"/>
                <w:i w:val="0"/>
                <w:iCs w:val="0"/>
                <w:color w:val="000000"/>
                <w:sz w:val="24"/>
                <w:szCs w:val="24"/>
                <w:highlight w:val="none"/>
                <w:u w:val="none"/>
              </w:rPr>
              <w:t xml:space="preserve">他操作系统；</w:t>
            </w:r>
            <w:r/>
          </w:p>
          <w:p>
            <w:pPr>
              <w:numPr>
                <w:ilvl w:val="0"/>
                <w:numId w:val="0"/>
              </w:numPr>
              <w:jc w:val="left"/>
              <w:keepLines w:val="0"/>
              <w:keepNex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t xml:space="preserve">3、一体化数码成像系统：</w:t>
            </w:r>
            <w:r>
              <w:rPr>
                <w:rFonts w:hint="eastAsia" w:ascii="宋体" w:hAnsi="宋体" w:eastAsia="宋体" w:cs="宋体"/>
                <w:b w:val="0"/>
                <w:bCs w:val="0"/>
                <w:i w:val="0"/>
                <w:iCs w:val="0"/>
                <w:color w:val="000000"/>
                <w:sz w:val="24"/>
                <w:szCs w:val="24"/>
                <w:u w:val="none"/>
              </w:rPr>
              <w:t xml:space="preserve">≥</w:t>
            </w:r>
            <w:r>
              <w:rPr>
                <w:rFonts w:hint="eastAsia" w:ascii="宋体" w:hAnsi="宋体" w:eastAsia="宋体" w:cs="宋体"/>
                <w:b w:val="0"/>
                <w:bCs w:val="0"/>
                <w:i w:val="0"/>
                <w:iCs w:val="0"/>
                <w:color w:val="000000"/>
                <w:sz w:val="24"/>
                <w:szCs w:val="24"/>
                <w:highlight w:val="none"/>
                <w:u w:val="none"/>
              </w:rPr>
              <w:t xml:space="preserve">10.1英寸彩色高清</w:t>
            </w:r>
            <w:r>
              <w:rPr>
                <w:rFonts w:hint="eastAsia" w:ascii="宋体" w:hAnsi="宋体" w:cs="宋体"/>
                <w:b w:val="0"/>
                <w:bCs w:val="0"/>
                <w:i w:val="0"/>
                <w:iCs w:val="0"/>
                <w:color w:val="000000"/>
                <w:sz w:val="24"/>
                <w:szCs w:val="24"/>
                <w:highlight w:val="none"/>
                <w:u w:val="none"/>
                <w:lang w:val="en-US" w:eastAsia="zh-CN"/>
              </w:rPr>
              <w:t xml:space="preserve">显示终端</w:t>
            </w:r>
            <w:r>
              <w:rPr>
                <w:rFonts w:hint="eastAsia" w:ascii="宋体" w:hAnsi="宋体" w:eastAsia="宋体" w:cs="宋体"/>
                <w:b w:val="0"/>
                <w:bCs w:val="0"/>
                <w:i w:val="0"/>
                <w:iCs w:val="0"/>
                <w:color w:val="000000"/>
                <w:sz w:val="24"/>
                <w:szCs w:val="24"/>
                <w:highlight w:val="none"/>
                <w:u w:val="none"/>
              </w:rPr>
              <w:t xml:space="preserve">，真实色彩还原，</w:t>
            </w:r>
            <w:r>
              <w:rPr>
                <w:rFonts w:hint="eastAsia" w:ascii="宋体" w:hAnsi="宋体" w:cs="宋体"/>
                <w:b w:val="0"/>
                <w:bCs w:val="0"/>
                <w:i w:val="0"/>
                <w:iCs w:val="0"/>
                <w:color w:val="000000"/>
                <w:sz w:val="24"/>
                <w:szCs w:val="24"/>
                <w:highlight w:val="none"/>
                <w:u w:val="none"/>
                <w:lang w:val="en-US" w:eastAsia="zh-CN"/>
              </w:rPr>
              <w:t xml:space="preserve">处理器</w:t>
            </w:r>
            <w:r>
              <w:rPr>
                <w:rFonts w:hint="eastAsia" w:ascii="宋体" w:hAnsi="宋体" w:eastAsia="宋体" w:cs="宋体"/>
                <w:b w:val="0"/>
                <w:bCs w:val="0"/>
                <w:i w:val="0"/>
                <w:iCs w:val="0"/>
                <w:color w:val="000000"/>
                <w:sz w:val="24"/>
                <w:szCs w:val="24"/>
                <w:highlight w:val="none"/>
                <w:u w:val="none"/>
              </w:rPr>
              <w:t xml:space="preserve">: </w:t>
            </w:r>
            <w:r>
              <w:rPr>
                <w:rFonts w:hint="eastAsia" w:ascii="宋体" w:hAnsi="宋体" w:cs="宋体"/>
                <w:b w:val="0"/>
                <w:bCs w:val="0"/>
                <w:i w:val="0"/>
                <w:iCs w:val="0"/>
                <w:color w:val="000000"/>
                <w:sz w:val="24"/>
                <w:szCs w:val="24"/>
                <w:highlight w:val="none"/>
                <w:u w:val="none"/>
                <w:lang w:val="en-US" w:eastAsia="zh-CN"/>
              </w:rPr>
              <w:t xml:space="preserve">不低于</w:t>
            </w:r>
            <w:r>
              <w:rPr>
                <w:rFonts w:hint="eastAsia" w:ascii="宋体" w:hAnsi="宋体" w:eastAsia="宋体" w:cs="宋体"/>
                <w:b w:val="0"/>
                <w:bCs w:val="0"/>
                <w:i w:val="0"/>
                <w:iCs w:val="0"/>
                <w:color w:val="000000"/>
                <w:sz w:val="24"/>
                <w:szCs w:val="24"/>
                <w:highlight w:val="none"/>
                <w:u w:val="none"/>
              </w:rPr>
              <w:t xml:space="preserve">1.8GHz </w:t>
            </w:r>
            <w:r>
              <w:rPr>
                <w:rFonts w:hint="eastAsia" w:ascii="宋体" w:hAnsi="宋体" w:cs="宋体"/>
                <w:b w:val="0"/>
                <w:bCs w:val="0"/>
                <w:i w:val="0"/>
                <w:iCs w:val="0"/>
                <w:color w:val="000000"/>
                <w:sz w:val="24"/>
                <w:szCs w:val="24"/>
                <w:highlight w:val="none"/>
                <w:u w:val="none"/>
                <w:lang w:val="en-US" w:eastAsia="zh-CN"/>
              </w:rPr>
              <w:t xml:space="preserve">不低于</w:t>
            </w:r>
            <w:r>
              <w:rPr>
                <w:rFonts w:hint="eastAsia" w:ascii="宋体" w:hAnsi="宋体" w:eastAsia="宋体" w:cs="宋体"/>
                <w:b w:val="0"/>
                <w:bCs w:val="0"/>
                <w:i w:val="0"/>
                <w:iCs w:val="0"/>
                <w:color w:val="000000"/>
                <w:sz w:val="24"/>
                <w:szCs w:val="24"/>
                <w:highlight w:val="none"/>
                <w:u w:val="none"/>
              </w:rPr>
              <w:t xml:space="preserve">四核，</w:t>
            </w:r>
            <w:r>
              <w:rPr>
                <w:rFonts w:hint="eastAsia" w:ascii="宋体" w:hAnsi="宋体" w:cs="宋体"/>
                <w:b w:val="0"/>
                <w:bCs w:val="0"/>
                <w:i w:val="0"/>
                <w:iCs w:val="0"/>
                <w:color w:val="000000"/>
                <w:sz w:val="24"/>
                <w:szCs w:val="24"/>
                <w:highlight w:val="none"/>
                <w:u w:val="none"/>
                <w:lang w:val="en-US" w:eastAsia="zh-CN"/>
              </w:rPr>
              <w:t xml:space="preserve">运行</w:t>
            </w:r>
            <w:r>
              <w:rPr>
                <w:rFonts w:hint="eastAsia" w:ascii="宋体" w:hAnsi="宋体" w:eastAsia="宋体" w:cs="宋体"/>
                <w:b w:val="0"/>
                <w:bCs w:val="0"/>
                <w:i w:val="0"/>
                <w:iCs w:val="0"/>
                <w:color w:val="000000"/>
                <w:sz w:val="24"/>
                <w:szCs w:val="24"/>
                <w:highlight w:val="none"/>
                <w:u w:val="none"/>
              </w:rPr>
              <w:t xml:space="preserve">内存：</w:t>
            </w:r>
            <w:r>
              <w:rPr>
                <w:rFonts w:hint="eastAsia" w:ascii="宋体" w:hAnsi="宋体" w:eastAsia="宋体" w:cs="宋体"/>
                <w:b w:val="0"/>
                <w:bCs w:val="0"/>
                <w:i w:val="0"/>
                <w:iCs w:val="0"/>
                <w:color w:val="000000"/>
                <w:sz w:val="24"/>
                <w:szCs w:val="24"/>
                <w:u w:val="none"/>
              </w:rPr>
              <w:t xml:space="preserve">≥</w:t>
            </w:r>
            <w:r>
              <w:rPr>
                <w:rFonts w:hint="eastAsia" w:ascii="宋体" w:hAnsi="宋体" w:eastAsia="宋体" w:cs="宋体"/>
                <w:b w:val="0"/>
                <w:bCs w:val="0"/>
                <w:i w:val="0"/>
                <w:iCs w:val="0"/>
                <w:color w:val="000000"/>
                <w:sz w:val="24"/>
                <w:szCs w:val="24"/>
                <w:highlight w:val="none"/>
                <w:u w:val="none"/>
              </w:rPr>
              <w:t xml:space="preserve">2G，硬盘：</w:t>
            </w:r>
            <w:r>
              <w:rPr>
                <w:rFonts w:hint="eastAsia" w:ascii="宋体" w:hAnsi="宋体" w:eastAsia="宋体" w:cs="宋体"/>
                <w:b w:val="0"/>
                <w:bCs w:val="0"/>
                <w:i w:val="0"/>
                <w:iCs w:val="0"/>
                <w:color w:val="000000"/>
                <w:sz w:val="24"/>
                <w:szCs w:val="24"/>
                <w:u w:val="none"/>
              </w:rPr>
              <w:t xml:space="preserve">≥</w:t>
            </w:r>
            <w:r>
              <w:rPr>
                <w:rFonts w:hint="eastAsia" w:ascii="宋体" w:hAnsi="宋体" w:eastAsia="宋体" w:cs="宋体"/>
                <w:b w:val="0"/>
                <w:bCs w:val="0"/>
                <w:i w:val="0"/>
                <w:iCs w:val="0"/>
                <w:color w:val="000000"/>
                <w:sz w:val="24"/>
                <w:szCs w:val="24"/>
                <w:highlight w:val="none"/>
                <w:u w:val="none"/>
              </w:rPr>
              <w:t xml:space="preserve">8G；屏幕硬件分辨率：</w:t>
            </w:r>
            <w:r>
              <w:rPr>
                <w:rFonts w:hint="eastAsia" w:ascii="宋体" w:hAnsi="宋体" w:eastAsia="宋体" w:cs="宋体"/>
                <w:b w:val="0"/>
                <w:bCs w:val="0"/>
                <w:i w:val="0"/>
                <w:iCs w:val="0"/>
                <w:color w:val="000000"/>
                <w:sz w:val="24"/>
                <w:szCs w:val="24"/>
                <w:u w:val="none"/>
              </w:rPr>
              <w:t xml:space="preserve">≥</w:t>
            </w:r>
            <w:r>
              <w:rPr>
                <w:rFonts w:hint="eastAsia" w:ascii="宋体" w:hAnsi="宋体" w:eastAsia="宋体" w:cs="宋体"/>
                <w:b w:val="0"/>
                <w:bCs w:val="0"/>
                <w:i w:val="0"/>
                <w:iCs w:val="0"/>
                <w:color w:val="000000"/>
                <w:sz w:val="24"/>
                <w:szCs w:val="24"/>
                <w:highlight w:val="none"/>
                <w:u w:val="none"/>
              </w:rPr>
              <w:t xml:space="preserve">1080p，拍照像素：1400万像素以上,支持</w:t>
            </w:r>
            <w:r>
              <w:rPr>
                <w:rFonts w:hint="eastAsia" w:ascii="宋体" w:hAnsi="宋体" w:cs="宋体"/>
                <w:b w:val="0"/>
                <w:bCs w:val="0"/>
                <w:i w:val="0"/>
                <w:iCs w:val="0"/>
                <w:color w:val="000000"/>
                <w:sz w:val="24"/>
                <w:szCs w:val="24"/>
                <w:highlight w:val="none"/>
                <w:u w:val="none"/>
                <w:lang w:val="en-US" w:eastAsia="zh-CN"/>
              </w:rPr>
              <w:t xml:space="preserve">不低于</w:t>
            </w:r>
            <w:r>
              <w:rPr>
                <w:rFonts w:hint="eastAsia" w:ascii="宋体" w:hAnsi="宋体" w:eastAsia="宋体" w:cs="宋体"/>
                <w:b w:val="0"/>
                <w:bCs w:val="0"/>
                <w:i w:val="0"/>
                <w:iCs w:val="0"/>
                <w:color w:val="000000"/>
                <w:sz w:val="24"/>
                <w:szCs w:val="24"/>
                <w:highlight w:val="none"/>
                <w:u w:val="none"/>
              </w:rPr>
              <w:t xml:space="preserve">4K视频录制,录像分辨率1080P/15FPS以上，超高清成像装置，画面无拖尾延迟现象，</w:t>
            </w:r>
            <w:r>
              <w:rPr>
                <w:rFonts w:hint="eastAsia" w:ascii="宋体" w:hAnsi="宋体" w:eastAsia="宋体" w:cs="宋体"/>
                <w:b w:val="0"/>
                <w:bCs w:val="0"/>
                <w:i w:val="0"/>
                <w:iCs w:val="0"/>
                <w:color w:val="000000"/>
                <w:sz w:val="24"/>
                <w:szCs w:val="24"/>
                <w:u w:val="none"/>
              </w:rPr>
              <w:t xml:space="preserve">≥</w:t>
            </w:r>
            <w:r>
              <w:rPr>
                <w:rFonts w:hint="eastAsia" w:ascii="宋体" w:hAnsi="宋体" w:eastAsia="宋体" w:cs="宋体"/>
                <w:b w:val="0"/>
                <w:bCs w:val="0"/>
                <w:i w:val="0"/>
                <w:iCs w:val="0"/>
                <w:color w:val="000000"/>
                <w:sz w:val="24"/>
                <w:szCs w:val="24"/>
                <w:highlight w:val="none"/>
                <w:u w:val="none"/>
              </w:rPr>
              <w:t xml:space="preserve">1080P HDMI高清数字信号输出；</w:t>
            </w:r>
            <w:r/>
          </w:p>
          <w:p>
            <w:pPr>
              <w:numPr>
                <w:ilvl w:val="0"/>
                <w:numId w:val="0"/>
              </w:numPr>
              <w:jc w:val="left"/>
              <w:keepLines w:val="0"/>
              <w:keepNex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t xml:space="preserve">4、数据接口：HDMI高清投屏/Bluetooth蓝牙传输/Wi-Fi无线/RJ45 LAN有线网络，支持存储扩充；</w:t>
            </w:r>
            <w:r/>
          </w:p>
          <w:p>
            <w:pPr>
              <w:numPr>
                <w:ilvl w:val="0"/>
                <w:numId w:val="0"/>
              </w:numPr>
              <w:jc w:val="left"/>
              <w:keepLines w:val="0"/>
              <w:keepNext/>
              <w:widowControl/>
              <w:rPr>
                <w:rFonts w:hint="eastAsia" w:ascii="宋体" w:hAnsi="宋体" w:eastAsia="宋体" w:cs="宋体"/>
                <w:b w:val="0"/>
                <w:bCs w:val="0"/>
                <w:i w:val="0"/>
                <w:iCs w:val="0"/>
                <w:color w:val="000000"/>
                <w:sz w:val="24"/>
                <w:szCs w:val="24"/>
                <w:highlight w:val="none"/>
                <w:u w:val="none"/>
                <w:lang w:eastAsia="zh-CN"/>
              </w:rPr>
              <w:suppressLineNumbers w:val="0"/>
            </w:pPr>
            <w:r>
              <w:rPr>
                <w:rFonts w:hint="eastAsia" w:ascii="宋体" w:hAnsi="宋体" w:eastAsia="宋体" w:cs="宋体"/>
                <w:b w:val="0"/>
                <w:bCs w:val="0"/>
                <w:i w:val="0"/>
                <w:iCs w:val="0"/>
                <w:color w:val="000000"/>
                <w:sz w:val="24"/>
                <w:szCs w:val="24"/>
                <w:highlight w:val="none"/>
                <w:u w:val="none"/>
              </w:rPr>
              <w:t xml:space="preserve">5、显微镜及显示屏为一体的电源</w:t>
            </w:r>
            <w:r>
              <w:rPr>
                <w:rFonts w:hint="eastAsia" w:ascii="宋体" w:hAnsi="宋体" w:cs="宋体"/>
                <w:b w:val="0"/>
                <w:bCs w:val="0"/>
                <w:i w:val="0"/>
                <w:iCs w:val="0"/>
                <w:color w:val="000000"/>
                <w:sz w:val="24"/>
                <w:szCs w:val="24"/>
                <w:highlight w:val="none"/>
                <w:u w:val="none"/>
                <w:lang w:eastAsia="zh-CN"/>
              </w:rPr>
              <w:t xml:space="preserve">；</w:t>
            </w:r>
            <w:r/>
          </w:p>
          <w:p>
            <w:pPr>
              <w:numPr>
                <w:ilvl w:val="0"/>
                <w:numId w:val="0"/>
              </w:numPr>
              <w:jc w:val="left"/>
              <w:keepLines w:val="0"/>
              <w:keepNex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rPr>
              <w:t xml:space="preserve">6.可外接10000mAh以上电池组件供电，可连续使用5-8小时；</w:t>
            </w:r>
            <w:r/>
          </w:p>
          <w:p>
            <w:pPr>
              <w:numPr>
                <w:ilvl w:val="0"/>
                <w:numId w:val="0"/>
              </w:num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highlight w:val="none"/>
                <w:u w:val="none"/>
              </w:rPr>
              <w:t xml:space="preserve">7、双目镜筒，三目倾</w:t>
            </w:r>
            <w:r>
              <w:rPr>
                <w:rFonts w:hint="eastAsia" w:ascii="宋体" w:hAnsi="宋体" w:eastAsia="宋体" w:cs="宋体"/>
                <w:b w:val="0"/>
                <w:bCs w:val="0"/>
                <w:i w:val="0"/>
                <w:iCs w:val="0"/>
                <w:color w:val="000000"/>
                <w:sz w:val="24"/>
                <w:szCs w:val="24"/>
                <w:u w:val="none"/>
              </w:rPr>
              <w:t xml:space="preserve">斜</w:t>
            </w:r>
            <w:r>
              <w:rPr>
                <w:rFonts w:hint="eastAsia" w:ascii="宋体" w:hAnsi="宋体" w:cs="宋体"/>
                <w:b w:val="0"/>
                <w:bCs w:val="0"/>
                <w:i w:val="0"/>
                <w:iCs w:val="0"/>
                <w:color w:val="000000"/>
                <w:sz w:val="24"/>
                <w:szCs w:val="24"/>
                <w:u w:val="none"/>
                <w:lang w:val="en-US" w:eastAsia="zh-CN"/>
              </w:rPr>
              <w:t xml:space="preserve">比不小于</w:t>
            </w:r>
            <w:r>
              <w:rPr>
                <w:rFonts w:hint="eastAsia" w:ascii="宋体" w:hAnsi="宋体" w:eastAsia="宋体" w:cs="宋体"/>
                <w:b w:val="0"/>
                <w:bCs w:val="0"/>
                <w:i w:val="0"/>
                <w:iCs w:val="0"/>
                <w:color w:val="000000"/>
                <w:sz w:val="24"/>
                <w:szCs w:val="24"/>
                <w:u w:val="none"/>
              </w:rPr>
              <w:t xml:space="preserve">30°，视度可调节，双目瞳距：48-75 mm，可360度旋转观察，≥0.5X带光学玻璃摄像接筒；</w:t>
            </w:r>
            <w:r/>
          </w:p>
          <w:p>
            <w:pPr>
              <w:numPr>
                <w:ilvl w:val="0"/>
                <w:numId w:val="0"/>
              </w:num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t xml:space="preserve">8、▲倾斜式目镜筒作360度旋转时目镜焦平面上像中心的位移≤0.15mm，左右两系统放大率差≤0.52%，双目系统左右视场像面方位差≤12´，双目系统左右视场中心偏差上下≤0.08mm、左右内侧≤0.10mm，双目系统左右光轴平行度 垂直交叉≤12´，零视度时，左右系统的目镜端面位置差≤0.20mm。</w:t>
            </w:r>
            <w:r>
              <w:rPr>
                <w:rFonts w:hint="eastAsia" w:ascii="宋体" w:hAnsi="宋体" w:eastAsia="宋体" w:cs="宋体"/>
                <w:b/>
                <w:bCs/>
                <w:i w:val="0"/>
                <w:iCs w:val="0"/>
                <w:color w:val="000000"/>
                <w:sz w:val="24"/>
                <w:szCs w:val="24"/>
                <w:u w:val="none"/>
                <w:lang w:val="en-US" w:eastAsia="zh-CN" w:bidi="ar"/>
              </w:rPr>
              <w:t xml:space="preserve">（投标文件中提供第三方检测机构出具的有效期内检验检测报告扫描件、复印件或电子件，报告具有CMA标识并加盖投标人公章。）</w:t>
            </w:r>
            <w:r/>
          </w:p>
          <w:p>
            <w:pPr>
              <w:numPr>
                <w:ilvl w:val="0"/>
                <w:numId w:val="0"/>
              </w:num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t xml:space="preserve">9、广角目镜：WF10X；目镜可锁紧在目镜筒上，显微镜目镜放大率准确度不超过0.95%。</w:t>
            </w:r>
            <w:r/>
          </w:p>
          <w:p>
            <w:pPr>
              <w:numPr>
                <w:ilvl w:val="0"/>
                <w:numId w:val="0"/>
              </w:num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t xml:space="preserve">10、E-plan消色差平场物镜：4X,10X,40X,100X(S)</w:t>
            </w:r>
            <w:r>
              <w:rPr>
                <w:rFonts w:hint="eastAsia" w:ascii="宋体" w:hAnsi="宋体" w:cs="宋体"/>
                <w:b w:val="0"/>
                <w:bCs w:val="0"/>
                <w:i w:val="0"/>
                <w:iCs w:val="0"/>
                <w:color w:val="000000"/>
                <w:sz w:val="24"/>
                <w:szCs w:val="24"/>
                <w:u w:val="none"/>
                <w:lang w:val="en-US" w:eastAsia="zh-CN"/>
              </w:rPr>
              <w:t xml:space="preserve">等</w:t>
            </w:r>
            <w:r>
              <w:rPr>
                <w:rFonts w:hint="eastAsia" w:ascii="宋体" w:hAnsi="宋体" w:eastAsia="宋体" w:cs="宋体"/>
                <w:b w:val="0"/>
                <w:bCs w:val="0"/>
                <w:i w:val="0"/>
                <w:iCs w:val="0"/>
                <w:color w:val="000000"/>
                <w:sz w:val="24"/>
                <w:szCs w:val="24"/>
                <w:u w:val="none"/>
              </w:rPr>
              <w:t xml:space="preserve">,所有物镜均保证齐焦；显微镜物镜放大率准确度不超过-1.50%；4倍物镜成像清晰圆直径≥14.90mm,10倍物镜成像清晰圆直径≥15.2mm,40倍物镜成像清晰圆直径≥15.0mm，100倍物镜成像清晰圆直径≥14.8mm；齐焦：10→4倍齐焦不超过0.018mm,10→40倍齐焦不超过0.010mm,40→100倍齐焦不超过0.007mm，</w:t>
            </w:r>
            <w:r/>
          </w:p>
          <w:p>
            <w:pPr>
              <w:numPr>
                <w:ilvl w:val="0"/>
                <w:numId w:val="0"/>
              </w:num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t xml:space="preserve">11、物镜转换器：四孔转换器，转换器稳定性≤0.012㎜；</w:t>
            </w:r>
            <w:r/>
          </w:p>
          <w:p>
            <w:pPr>
              <w:numPr>
                <w:ilvl w:val="0"/>
                <w:numId w:val="0"/>
              </w:num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t xml:space="preserve">12、粗微调：同轴粗微调（带上限位及松紧调节环），三角导轨，交叉滚柱导向机构，粗调范围：≥25mm，微调每转：</w:t>
            </w:r>
            <w:r>
              <w:rPr>
                <w:rFonts w:hint="eastAsia" w:ascii="宋体" w:hAnsi="宋体" w:cs="宋体"/>
                <w:b w:val="0"/>
                <w:bCs w:val="0"/>
                <w:i w:val="0"/>
                <w:iCs w:val="0"/>
                <w:color w:val="000000"/>
                <w:sz w:val="24"/>
                <w:szCs w:val="24"/>
                <w:u w:val="none"/>
                <w:lang w:val="en-US" w:eastAsia="zh-CN"/>
              </w:rPr>
              <w:t xml:space="preserve">≤</w:t>
            </w:r>
            <w:r>
              <w:rPr>
                <w:rFonts w:hint="eastAsia" w:ascii="宋体" w:hAnsi="宋体" w:eastAsia="宋体" w:cs="宋体"/>
                <w:b w:val="0"/>
                <w:bCs w:val="0"/>
                <w:i w:val="0"/>
                <w:iCs w:val="0"/>
                <w:color w:val="000000"/>
                <w:sz w:val="24"/>
                <w:szCs w:val="24"/>
                <w:u w:val="none"/>
              </w:rPr>
              <w:t xml:space="preserve">0.2 mm，微调最小格值：</w:t>
            </w:r>
            <w:r>
              <w:rPr>
                <w:rFonts w:hint="eastAsia" w:ascii="宋体" w:hAnsi="宋体" w:cs="宋体"/>
                <w:b w:val="0"/>
                <w:bCs w:val="0"/>
                <w:i w:val="0"/>
                <w:iCs w:val="0"/>
                <w:color w:val="000000"/>
                <w:sz w:val="24"/>
                <w:szCs w:val="24"/>
                <w:u w:val="none"/>
                <w:lang w:val="en-US" w:eastAsia="zh-CN"/>
              </w:rPr>
              <w:t xml:space="preserve">不高于</w:t>
            </w:r>
            <w:r>
              <w:rPr>
                <w:rFonts w:hint="eastAsia" w:ascii="宋体" w:hAnsi="宋体" w:eastAsia="宋体" w:cs="宋体"/>
                <w:b w:val="0"/>
                <w:bCs w:val="0"/>
                <w:i w:val="0"/>
                <w:iCs w:val="0"/>
                <w:color w:val="000000"/>
                <w:sz w:val="24"/>
                <w:szCs w:val="24"/>
                <w:u w:val="none"/>
              </w:rPr>
              <w:t xml:space="preserve">2μm，具有过载保护自动卸力装置；人机工程学设计：调焦手轮与载物台移动手柄位置较低，位于同一水平高度可单手舒适操作，且两者离操作者距离相同，使操作者无需扭曲身体即可用单手以自然姿态轻松操作，微调机构空回≤0.006mm；</w:t>
            </w:r>
            <w:r/>
          </w:p>
          <w:p>
            <w:pPr>
              <w:numPr>
                <w:ilvl w:val="0"/>
                <w:numId w:val="0"/>
              </w:num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t xml:space="preserve">13、双层机械载物台：面积：110×115 mm以上，行程为76mm×52mm</w:t>
            </w:r>
            <w:r>
              <w:rPr>
                <w:rFonts w:hint="eastAsia" w:ascii="宋体" w:hAnsi="宋体" w:cs="宋体"/>
                <w:b w:val="0"/>
                <w:bCs w:val="0"/>
                <w:i w:val="0"/>
                <w:iCs w:val="0"/>
                <w:color w:val="000000"/>
                <w:sz w:val="24"/>
                <w:szCs w:val="24"/>
                <w:u w:val="none"/>
                <w:lang w:eastAsia="zh-CN"/>
              </w:rPr>
              <w:t xml:space="preserve">（</w:t>
            </w:r>
            <w:r>
              <w:rPr>
                <w:rFonts w:hint="eastAsia" w:ascii="宋体" w:hAnsi="宋体" w:cs="宋体"/>
                <w:b w:val="0"/>
                <w:bCs w:val="0"/>
                <w:i w:val="0"/>
                <w:iCs w:val="0"/>
                <w:color w:val="000000"/>
                <w:sz w:val="24"/>
                <w:szCs w:val="24"/>
                <w:u w:val="none"/>
                <w:lang w:val="en-US" w:eastAsia="zh-CN"/>
              </w:rPr>
              <w:t xml:space="preserve">±5mm</w:t>
            </w:r>
            <w:r>
              <w:rPr>
                <w:rFonts w:hint="eastAsia" w:ascii="宋体" w:hAnsi="宋体" w:cs="宋体"/>
                <w:b w:val="0"/>
                <w:bCs w:val="0"/>
                <w:i w:val="0"/>
                <w:iCs w:val="0"/>
                <w:color w:val="000000"/>
                <w:sz w:val="24"/>
                <w:szCs w:val="24"/>
                <w:u w:val="none"/>
                <w:lang w:eastAsia="zh-CN"/>
              </w:rPr>
              <w:t xml:space="preserve">）</w:t>
            </w:r>
            <w:r>
              <w:rPr>
                <w:rFonts w:hint="eastAsia" w:ascii="宋体" w:hAnsi="宋体" w:eastAsia="宋体" w:cs="宋体"/>
                <w:b w:val="0"/>
                <w:bCs w:val="0"/>
                <w:i w:val="0"/>
                <w:iCs w:val="0"/>
                <w:color w:val="000000"/>
                <w:sz w:val="24"/>
                <w:szCs w:val="24"/>
                <w:u w:val="none"/>
              </w:rPr>
              <w:t xml:space="preserve">，右手控制，游标刻度为</w:t>
            </w:r>
            <w:r>
              <w:rPr>
                <w:rFonts w:hint="eastAsia" w:ascii="宋体" w:hAnsi="宋体" w:cs="宋体"/>
                <w:b w:val="0"/>
                <w:bCs w:val="0"/>
                <w:i w:val="0"/>
                <w:iCs w:val="0"/>
                <w:color w:val="000000"/>
                <w:sz w:val="24"/>
                <w:szCs w:val="24"/>
                <w:u w:val="none"/>
                <w:lang w:val="en-US" w:eastAsia="zh-CN"/>
              </w:rPr>
              <w:t xml:space="preserve">至少为</w:t>
            </w:r>
            <w:r>
              <w:rPr>
                <w:rFonts w:hint="eastAsia" w:ascii="宋体" w:hAnsi="宋体" w:eastAsia="宋体" w:cs="宋体"/>
                <w:b w:val="0"/>
                <w:bCs w:val="0"/>
                <w:i w:val="0"/>
                <w:iCs w:val="0"/>
                <w:color w:val="000000"/>
                <w:sz w:val="24"/>
                <w:szCs w:val="24"/>
                <w:u w:val="none"/>
              </w:rPr>
              <w:t xml:space="preserve">0.1mm；载物台</w:t>
            </w:r>
            <w:r>
              <w:rPr>
                <w:rFonts w:hint="eastAsia" w:ascii="宋体" w:hAnsi="宋体" w:cs="宋体"/>
                <w:b w:val="0"/>
                <w:bCs w:val="0"/>
                <w:i w:val="0"/>
                <w:iCs w:val="0"/>
                <w:color w:val="000000"/>
                <w:sz w:val="24"/>
                <w:szCs w:val="24"/>
                <w:u w:val="none"/>
                <w:lang w:val="en-US" w:eastAsia="zh-CN"/>
              </w:rPr>
              <w:t xml:space="preserve">至少</w:t>
            </w:r>
            <w:r>
              <w:rPr>
                <w:rFonts w:hint="eastAsia" w:ascii="宋体" w:hAnsi="宋体" w:eastAsia="宋体" w:cs="宋体"/>
                <w:b w:val="0"/>
                <w:bCs w:val="0"/>
                <w:i w:val="0"/>
                <w:iCs w:val="0"/>
                <w:color w:val="000000"/>
                <w:sz w:val="24"/>
                <w:szCs w:val="24"/>
                <w:u w:val="none"/>
              </w:rPr>
              <w:t xml:space="preserve">受5N水平方向作用力最大位移≤0.015mm；不重复性≤0.004mm；</w:t>
            </w:r>
            <w:r/>
          </w:p>
          <w:p>
            <w:pPr>
              <w:numPr>
                <w:ilvl w:val="0"/>
                <w:numId w:val="0"/>
              </w:num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t xml:space="preserve">14、阿贝式聚光镜：垂直移动范围</w:t>
            </w:r>
            <w:r>
              <w:rPr>
                <w:rFonts w:hint="eastAsia" w:ascii="宋体" w:hAnsi="宋体" w:cs="宋体"/>
                <w:b w:val="0"/>
                <w:bCs w:val="0"/>
                <w:i w:val="0"/>
                <w:iCs w:val="0"/>
                <w:color w:val="000000"/>
                <w:sz w:val="24"/>
                <w:szCs w:val="24"/>
                <w:u w:val="none"/>
                <w:lang w:val="en-US" w:eastAsia="zh-CN"/>
              </w:rPr>
              <w:t xml:space="preserve">≥</w:t>
            </w:r>
            <w:r>
              <w:rPr>
                <w:rFonts w:hint="eastAsia" w:ascii="宋体" w:hAnsi="宋体" w:eastAsia="宋体" w:cs="宋体"/>
                <w:b w:val="0"/>
                <w:bCs w:val="0"/>
                <w:i w:val="0"/>
                <w:iCs w:val="0"/>
                <w:color w:val="000000"/>
                <w:sz w:val="24"/>
                <w:szCs w:val="24"/>
                <w:u w:val="none"/>
              </w:rPr>
              <w:t xml:space="preserve">10 mm，NA</w:t>
            </w:r>
            <w:r>
              <w:rPr>
                <w:rFonts w:hint="eastAsia" w:ascii="宋体" w:hAnsi="宋体" w:cs="宋体"/>
                <w:b w:val="0"/>
                <w:bCs w:val="0"/>
                <w:i w:val="0"/>
                <w:iCs w:val="0"/>
                <w:color w:val="000000"/>
                <w:sz w:val="24"/>
                <w:szCs w:val="24"/>
                <w:u w:val="none"/>
                <w:lang w:val="en-US" w:eastAsia="zh-CN"/>
              </w:rPr>
              <w:t xml:space="preserve">≥</w:t>
            </w:r>
            <w:r>
              <w:rPr>
                <w:rFonts w:hint="eastAsia" w:ascii="宋体" w:hAnsi="宋体" w:eastAsia="宋体" w:cs="宋体"/>
                <w:b w:val="0"/>
                <w:bCs w:val="0"/>
                <w:i w:val="0"/>
                <w:iCs w:val="0"/>
                <w:color w:val="000000"/>
                <w:sz w:val="24"/>
                <w:szCs w:val="24"/>
                <w:u w:val="none"/>
              </w:rPr>
              <w:t xml:space="preserve">1.25 带孔径光栏；</w:t>
            </w:r>
            <w:r/>
          </w:p>
          <w:p>
            <w:pPr>
              <w:numPr>
                <w:ilvl w:val="0"/>
                <w:numId w:val="0"/>
              </w:num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t xml:space="preserve">15、显微镜具有智能液晶面板，可以对光的亮度、上下光源、电池容量、供电等进行显示。</w:t>
            </w:r>
            <w:r/>
          </w:p>
          <w:p>
            <w:pPr>
              <w:numPr>
                <w:ilvl w:val="0"/>
                <w:numId w:val="0"/>
              </w:num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rPr>
              <w:t xml:space="preserve">16、双光源：A、透射光源：长寿命、高亮度复眼透镜1</w:t>
            </w:r>
            <w:r>
              <w:rPr>
                <w:rFonts w:hint="eastAsia" w:ascii="宋体" w:hAnsi="宋体" w:cs="宋体"/>
                <w:b w:val="0"/>
                <w:bCs w:val="0"/>
                <w:i w:val="0"/>
                <w:iCs w:val="0"/>
                <w:color w:val="000000"/>
                <w:sz w:val="24"/>
                <w:szCs w:val="24"/>
                <w:u w:val="none"/>
                <w:lang w:val="en-US" w:eastAsia="zh-CN"/>
              </w:rPr>
              <w:t xml:space="preserve">W光源</w:t>
            </w:r>
            <w:r>
              <w:rPr>
                <w:rFonts w:hint="eastAsia" w:ascii="宋体" w:hAnsi="宋体" w:eastAsia="宋体" w:cs="宋体"/>
                <w:b w:val="0"/>
                <w:bCs w:val="0"/>
                <w:i w:val="0"/>
                <w:iCs w:val="0"/>
                <w:color w:val="000000"/>
                <w:sz w:val="24"/>
                <w:szCs w:val="24"/>
                <w:u w:val="none"/>
              </w:rPr>
              <w:t xml:space="preserve">，电池仓结构供电，节能、绿色、环保；</w:t>
            </w:r>
            <w:r/>
          </w:p>
          <w:p>
            <w:pPr>
              <w:numPr>
                <w:ilvl w:val="0"/>
                <w:numId w:val="0"/>
              </w:numPr>
              <w:jc w:val="left"/>
              <w:keepLines w:val="0"/>
              <w:keepNext/>
              <w:widowControl/>
              <w:rPr>
                <w:rFonts w:hint="eastAsia"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b w:val="0"/>
                <w:bCs w:val="0"/>
                <w:i w:val="0"/>
                <w:iCs w:val="0"/>
                <w:color w:val="000000"/>
                <w:sz w:val="24"/>
                <w:szCs w:val="24"/>
                <w:u w:val="none"/>
              </w:rPr>
              <w:t xml:space="preserve">17、双光源：B、侧光源：侧光源固定在镜体内，可以观察实体标本并具有辅助照明功能，可以作为体视显微镜使用</w:t>
            </w:r>
            <w:r>
              <w:rPr>
                <w:rFonts w:hint="eastAsia" w:ascii="宋体" w:hAnsi="宋体" w:cs="宋体"/>
                <w:b w:val="0"/>
                <w:bCs w:val="0"/>
                <w:i w:val="0"/>
                <w:iCs w:val="0"/>
                <w:color w:val="000000"/>
                <w:sz w:val="24"/>
                <w:szCs w:val="24"/>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酸奶机</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全自动，304不锈钢内胆，宜具有温度、时间控制</w:t>
            </w: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val="false"/>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果酒果醋发酵装置</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透明，最大容积 1 L，具水封及气泡限速装</w:t>
            </w:r>
            <w:r>
              <w:rPr>
                <w:rFonts w:hint="eastAsia" w:ascii="宋体" w:hAnsi="宋体" w:cs="宋体"/>
                <w:b w:val="0"/>
                <w:bCs w:val="0"/>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widowControl/>
              <w:rPr>
                <w:rFonts w:hint="default" w:ascii="宋体" w:hAnsi="宋体" w:eastAsia="宋体" w:cs="宋体"/>
                <w:b w:val="0"/>
                <w:bCs w:val="0"/>
                <w:i w:val="0"/>
                <w:iCs w:val="0"/>
                <w:color w:val="000000"/>
                <w:sz w:val="24"/>
                <w:szCs w:val="24"/>
                <w:u w:val="none"/>
                <w:lang w:val="en-US"/>
              </w:rPr>
              <w:suppressLineNumbers w:val="0"/>
            </w:pPr>
            <w:r>
              <w:rPr>
                <w:rFonts w:hint="eastAsia" w:ascii="宋体" w:hAnsi="宋体" w:eastAsia="宋体" w:cs="宋体"/>
                <w:b w:val="0"/>
                <w:bCs w:val="0"/>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13"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pH传感器</w:t>
            </w:r>
            <w:r/>
          </w:p>
        </w:tc>
        <w:tc>
          <w:tcPr>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left"/>
              <w:keepNext/>
              <w:widowControl/>
              <w:rPr>
                <w:rFonts w:ascii="宋体" w:hAnsi="宋体" w:cs="宋体"/>
                <w:color w:val="000000"/>
                <w:sz w:val="24"/>
                <w:szCs w:val="24"/>
              </w:rPr>
            </w:pPr>
            <w:r>
              <w:rPr>
                <w:rFonts w:hint="eastAsia" w:ascii="宋体" w:hAnsi="宋体" w:cs="宋体"/>
                <w:color w:val="000000"/>
                <w:sz w:val="24"/>
                <w:szCs w:val="24"/>
              </w:rPr>
              <w:t xml:space="preserve">1.用于测量溶液中的pH，可测量有色溶液的酸碱度；性能：测量范围：0~14；分度：</w:t>
            </w:r>
            <w:r>
              <w:rPr>
                <w:rFonts w:hint="eastAsia" w:ascii="宋体" w:hAnsi="宋体" w:cs="宋体"/>
                <w:color w:val="000000"/>
                <w:sz w:val="24"/>
                <w:szCs w:val="24"/>
                <w:lang w:val="en-US" w:eastAsia="zh-CN"/>
              </w:rPr>
              <w:t xml:space="preserve">不小于</w:t>
            </w:r>
            <w:r>
              <w:rPr>
                <w:rFonts w:hint="eastAsia" w:ascii="宋体" w:hAnsi="宋体" w:cs="宋体"/>
                <w:color w:val="000000"/>
                <w:sz w:val="24"/>
                <w:szCs w:val="24"/>
              </w:rPr>
              <w:t xml:space="preserve">0.01；准确度：</w:t>
            </w:r>
            <w:r>
              <w:rPr>
                <w:rFonts w:hint="eastAsia" w:ascii="宋体" w:hAnsi="宋体" w:cs="宋体"/>
                <w:color w:val="000000"/>
                <w:sz w:val="24"/>
                <w:szCs w:val="24"/>
                <w:lang w:val="en-US" w:eastAsia="zh-CN"/>
              </w:rPr>
              <w:t xml:space="preserve">不低于</w:t>
            </w:r>
            <w:r>
              <w:rPr>
                <w:rFonts w:hint="eastAsia" w:ascii="宋体" w:hAnsi="宋体" w:cs="宋体"/>
                <w:color w:val="000000"/>
                <w:sz w:val="24"/>
                <w:szCs w:val="24"/>
              </w:rPr>
              <w:t xml:space="preserve">0.15；最大采样率：≥5KHz；温度范围：0-80℃（塑壳）,0-100℃（玻璃），电缆长度：≥1m，电极杆长度：≥120mm，电极杆直径：≥12mm，斜率：≥97%，电阻：≤250M，零点：7.00±0.25pH；</w:t>
            </w:r>
            <w:r/>
          </w:p>
          <w:p>
            <w:pPr>
              <w:jc w:val="left"/>
              <w:keepNext/>
              <w:widowControl/>
              <w:rPr>
                <w:rFonts w:ascii="宋体" w:hAnsi="宋体" w:cs="宋体"/>
                <w:color w:val="000000"/>
                <w:sz w:val="24"/>
                <w:szCs w:val="24"/>
              </w:rPr>
            </w:pPr>
            <w:r>
              <w:rPr>
                <w:rFonts w:hint="eastAsia" w:ascii="宋体" w:hAnsi="宋体" w:cs="宋体"/>
                <w:color w:val="000000"/>
                <w:sz w:val="24"/>
                <w:szCs w:val="24"/>
              </w:rPr>
              <w:t xml:space="preserve">2.结构：使用BNC连接器方式与电极连接；具有快速响应的特点，测量数据能在5秒内达到真实值的</w:t>
            </w:r>
            <w:r>
              <w:rPr>
                <w:rFonts w:hint="eastAsia" w:ascii="宋体" w:hAnsi="宋体" w:eastAsia="宋体" w:cs="宋体"/>
                <w:b w:val="0"/>
                <w:bCs w:val="0"/>
                <w:i w:val="0"/>
                <w:iCs w:val="0"/>
                <w:color w:val="000000"/>
                <w:sz w:val="24"/>
                <w:szCs w:val="24"/>
                <w:u w:val="none"/>
              </w:rPr>
              <w:t xml:space="preserve">≥</w:t>
            </w:r>
            <w:r>
              <w:rPr>
                <w:rFonts w:hint="eastAsia" w:ascii="宋体" w:hAnsi="宋体" w:cs="宋体"/>
                <w:color w:val="000000"/>
                <w:sz w:val="24"/>
                <w:szCs w:val="24"/>
              </w:rPr>
              <w:t xml:space="preserve">90%，10秒内稳定；</w:t>
            </w:r>
            <w:r/>
          </w:p>
          <w:p>
            <w:pPr>
              <w:jc w:val="left"/>
              <w:keepNext/>
              <w:widowControl/>
              <w:rPr>
                <w:rFonts w:ascii="宋体" w:hAnsi="宋体" w:cs="宋体"/>
                <w:color w:val="000000"/>
                <w:sz w:val="24"/>
                <w:szCs w:val="24"/>
              </w:rPr>
            </w:pPr>
            <w:r>
              <w:rPr>
                <w:rFonts w:hint="eastAsia" w:ascii="宋体" w:hAnsi="宋体" w:cs="宋体"/>
                <w:color w:val="000000"/>
                <w:sz w:val="24"/>
                <w:szCs w:val="24"/>
              </w:rPr>
              <w:t xml:space="preserve">3.由高强度塑料外壳封装，采用注塑工艺，材质为蓝色透明PC。外壳设计可将传感器固定在多种操作平台和装置上；</w:t>
            </w:r>
            <w:r/>
          </w:p>
          <w:p>
            <w:pPr>
              <w:jc w:val="left"/>
              <w:keepNext/>
              <w:widowControl/>
              <w:rPr>
                <w:rFonts w:ascii="宋体" w:hAnsi="宋体" w:cs="宋体"/>
                <w:color w:val="000000"/>
                <w:sz w:val="24"/>
                <w:szCs w:val="24"/>
              </w:rPr>
            </w:pPr>
            <w:r>
              <w:rPr>
                <w:rFonts w:hint="eastAsia" w:ascii="宋体" w:hAnsi="宋体" w:cs="宋体"/>
                <w:color w:val="000000"/>
                <w:sz w:val="24"/>
                <w:szCs w:val="24"/>
              </w:rPr>
              <w:t xml:space="preserve">4.传感器数据处理电路为双主板设计，采用技术成熟的SMT生产工艺，可保证传感器经久耐用，数据传输稳定、持续；</w:t>
            </w:r>
            <w:r/>
          </w:p>
          <w:p>
            <w:pPr>
              <w:jc w:val="left"/>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cs="宋体"/>
                <w:color w:val="000000"/>
                <w:sz w:val="24"/>
                <w:szCs w:val="24"/>
              </w:rPr>
              <w:t xml:space="preserve">5.采用BT数据接口，输出数字信号，接口具有方向性和自锁功能，可以防止传感器在使用过程中脱落，保证数据传输稳定；模块化、可热插拔设计，支持有线通讯、无线通讯和屏幕数据显示三种工作方式；可应用于Windows、Android、iOS、麒麟、统信、鸿蒙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jc w:val="center"/>
              <w:keepLines w:val="0"/>
              <w:keepNext/>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r>
            <w:r/>
          </w:p>
        </w:tc>
      </w:tr>
    </w:tbl>
    <w:p>
      <w:pPr>
        <w:pStyle w:val="737"/>
        <w:numPr>
          <w:ilvl w:val="0"/>
          <w:numId w:val="0"/>
        </w:numPr>
      </w:pPr>
      <w:r/>
      <w:r/>
    </w:p>
    <w:p>
      <w:pPr>
        <w:ind w:firstLine="562"/>
        <w:jc w:val="left"/>
        <w:spacing w:line="360" w:lineRule="auto"/>
        <w:rPr>
          <w:rFonts w:ascii="Times New Roman" w:hAnsi="Times New Roman"/>
          <w:b/>
          <w:sz w:val="28"/>
          <w:szCs w:val="28"/>
        </w:rPr>
      </w:pPr>
      <w:r>
        <w:rPr>
          <w:rFonts w:ascii="Times New Roman" w:hAnsi="Times New Roman"/>
          <w:b/>
          <w:sz w:val="28"/>
          <w:szCs w:val="28"/>
        </w:rPr>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四、辅材、配件</w:t>
      </w:r>
      <w:r/>
    </w:p>
    <w:p>
      <w:pPr>
        <w:ind w:firstLine="480"/>
        <w:jc w:val="left"/>
        <w:spacing w:line="360" w:lineRule="auto"/>
        <w:rPr>
          <w:rFonts w:ascii="宋体" w:hAnsi="宋体"/>
          <w:sz w:val="24"/>
          <w:szCs w:val="24"/>
        </w:rPr>
      </w:pPr>
      <w:r>
        <w:rPr>
          <w:rFonts w:hint="eastAsia" w:ascii="宋体" w:hAnsi="宋体"/>
          <w:sz w:val="24"/>
          <w:szCs w:val="24"/>
          <w:lang w:val="en-US" w:eastAsia="zh-CN"/>
        </w:rPr>
        <w:t xml:space="preserve">本项目涉及</w:t>
      </w:r>
      <w:r>
        <w:rPr>
          <w:rFonts w:hint="eastAsia" w:ascii="宋体" w:hAnsi="宋体"/>
          <w:sz w:val="24"/>
          <w:szCs w:val="24"/>
        </w:rPr>
        <w:t xml:space="preserve">硬件设备中包含本项目设备集成所需的所有配品、配件和以及网线、电源线等，若在具体实施时，所需配品配件及网线、电源线缺损时，由中标人负责增加解决。因不同投标人的设备设计原理未必完全相同，可视自身情况配置辅材，应能充分满足采购人需求的功能及参数要求。此部分包含在投标报价中。</w:t>
      </w:r>
      <w:r/>
    </w:p>
    <w:p>
      <w:pPr>
        <w:ind w:firstLine="562"/>
        <w:jc w:val="left"/>
        <w:spacing w:line="360" w:lineRule="auto"/>
        <w:rPr>
          <w:rFonts w:ascii="Times New Roman" w:hAnsi="Times New Roman"/>
          <w:b/>
          <w:sz w:val="28"/>
          <w:szCs w:val="28"/>
        </w:rPr>
      </w:pPr>
      <w:r>
        <w:rPr>
          <w:rFonts w:ascii="Times New Roman" w:hAnsi="Times New Roman"/>
          <w:b/>
          <w:sz w:val="28"/>
          <w:szCs w:val="28"/>
        </w:rPr>
        <w:t xml:space="preserve">五、供货要求</w:t>
      </w:r>
      <w:r/>
    </w:p>
    <w:p>
      <w:pPr>
        <w:ind w:firstLine="562"/>
        <w:jc w:val="left"/>
        <w:spacing w:line="360" w:lineRule="auto"/>
        <w:rPr>
          <w:rFonts w:hint="eastAsia" w:ascii="宋体" w:hAnsi="宋体"/>
          <w:b/>
          <w:bCs/>
          <w:i/>
          <w:iCs/>
          <w:sz w:val="24"/>
          <w:szCs w:val="24"/>
          <w:u w:val="single"/>
        </w:rPr>
      </w:pPr>
      <w:r>
        <w:rPr>
          <w:rFonts w:hint="eastAsia" w:ascii="宋体" w:hAnsi="宋体"/>
          <w:b/>
          <w:bCs/>
          <w:i/>
          <w:iCs/>
          <w:sz w:val="24"/>
          <w:szCs w:val="24"/>
        </w:rPr>
        <w:t xml:space="preserve">1.</w:t>
      </w:r>
      <w:r>
        <w:rPr>
          <w:rFonts w:hint="eastAsia" w:ascii="宋体" w:hAnsi="宋体"/>
          <w:b/>
          <w:bCs/>
          <w:i/>
          <w:iCs/>
          <w:sz w:val="24"/>
          <w:szCs w:val="24"/>
          <w:u w:val="single"/>
        </w:rPr>
        <w:t xml:space="preserve">交货期：合同签订后</w:t>
      </w:r>
      <w:r>
        <w:rPr>
          <w:rFonts w:hint="eastAsia" w:ascii="宋体" w:hAnsi="宋体"/>
          <w:b/>
          <w:bCs/>
          <w:i/>
          <w:iCs/>
          <w:sz w:val="24"/>
          <w:szCs w:val="24"/>
          <w:u w:val="single"/>
          <w:lang w:val="en-US" w:eastAsia="zh-CN"/>
        </w:rPr>
        <w:t xml:space="preserve">4</w:t>
      </w:r>
      <w:r>
        <w:rPr>
          <w:rFonts w:hint="eastAsia" w:ascii="宋体" w:hAnsi="宋体"/>
          <w:b/>
          <w:bCs/>
          <w:i/>
          <w:iCs/>
          <w:sz w:val="24"/>
          <w:szCs w:val="24"/>
          <w:u w:val="single"/>
        </w:rPr>
        <w:t xml:space="preserve">0天内完成安装调试，达到预期效果。（投标文件中提供加盖投标人公章的承诺函，格式自拟，否则投标无效）</w:t>
      </w:r>
      <w:r/>
    </w:p>
    <w:p>
      <w:pPr>
        <w:ind w:firstLine="562"/>
        <w:jc w:val="left"/>
        <w:spacing w:line="360" w:lineRule="auto"/>
        <w:rPr>
          <w:rFonts w:hint="eastAsia" w:ascii="宋体" w:hAnsi="宋体"/>
          <w:sz w:val="24"/>
          <w:szCs w:val="24"/>
        </w:rPr>
      </w:pPr>
      <w:r>
        <w:rPr>
          <w:rFonts w:hint="eastAsia" w:ascii="宋体" w:hAnsi="宋体"/>
          <w:sz w:val="24"/>
          <w:szCs w:val="24"/>
        </w:rPr>
        <w:t xml:space="preserve">2.交货方式：现场交货。</w:t>
      </w:r>
      <w:r/>
    </w:p>
    <w:p>
      <w:pPr>
        <w:ind w:firstLine="562"/>
        <w:jc w:val="left"/>
        <w:spacing w:line="360" w:lineRule="auto"/>
        <w:rPr>
          <w:rFonts w:hint="eastAsia" w:ascii="宋体" w:hAnsi="宋体"/>
          <w:sz w:val="24"/>
          <w:szCs w:val="24"/>
        </w:rPr>
      </w:pPr>
      <w:r>
        <w:rPr>
          <w:rFonts w:hint="eastAsia" w:ascii="宋体" w:hAnsi="宋体"/>
          <w:sz w:val="24"/>
          <w:szCs w:val="24"/>
        </w:rPr>
        <w:t xml:space="preserve">3.交货地点：江苏省新海高级中学，具体地点以合同书约定为准。</w:t>
      </w:r>
      <w:r/>
    </w:p>
    <w:p>
      <w:pPr>
        <w:ind w:firstLine="562"/>
        <w:jc w:val="left"/>
        <w:spacing w:line="360" w:lineRule="auto"/>
        <w:rPr>
          <w:rFonts w:ascii="Times New Roman" w:hAnsi="Times New Roman"/>
          <w:b/>
          <w:sz w:val="28"/>
          <w:szCs w:val="28"/>
        </w:rPr>
      </w:pPr>
      <w:r>
        <w:rPr>
          <w:rFonts w:ascii="Times New Roman" w:hAnsi="Times New Roman"/>
          <w:b/>
          <w:sz w:val="28"/>
          <w:szCs w:val="28"/>
        </w:rPr>
        <w:t xml:space="preserve">六、安装调试要求</w:t>
      </w:r>
      <w:r/>
    </w:p>
    <w:p>
      <w:pPr>
        <w:ind w:firstLine="480"/>
        <w:jc w:val="left"/>
        <w:spacing w:line="360" w:lineRule="auto"/>
        <w:rPr>
          <w:rFonts w:hint="eastAsia" w:ascii="宋体" w:hAnsi="宋体"/>
          <w:sz w:val="24"/>
          <w:szCs w:val="24"/>
        </w:rPr>
      </w:pPr>
      <w:r>
        <w:rPr>
          <w:rFonts w:hint="eastAsia" w:ascii="宋体" w:hAnsi="宋体"/>
          <w:sz w:val="24"/>
          <w:szCs w:val="24"/>
        </w:rPr>
        <w:t xml:space="preserve">1.提供的货物（含配件）应是全新的、未使用过的原装合格正品，并保证所提供货物的开箱合格率为100%，外观和内在质量都不得有任何问题，并在各个方面符合合同规定的质量、规格和性能要求。软硬件经过正确安装、合规配置和维护保养，在设备寿命期内运转良好。在规定的质保期内，中标人应对由于设计、工艺或材料的缺陷或故障负责。在未验收前，货物保管、安全均由中标人负责。</w:t>
      </w:r>
      <w:r/>
    </w:p>
    <w:p>
      <w:pPr>
        <w:ind w:firstLine="480"/>
        <w:jc w:val="left"/>
        <w:spacing w:line="360" w:lineRule="auto"/>
        <w:rPr>
          <w:rFonts w:hint="eastAsia" w:ascii="宋体" w:hAnsi="宋体"/>
          <w:sz w:val="24"/>
          <w:szCs w:val="24"/>
        </w:rPr>
      </w:pPr>
      <w:r>
        <w:rPr>
          <w:rFonts w:hint="eastAsia" w:ascii="宋体" w:hAnsi="宋体"/>
          <w:sz w:val="24"/>
          <w:szCs w:val="24"/>
        </w:rPr>
        <w:t xml:space="preserve">2.所提供的技术资料完整正确，数据和资料准确无误，能够保证设备按时正确地安装、调试和验收，并能满足正常运行和维修保养的需要。货物送到采购人指定地点，并负责办理运输和装卸，费用由中标人负责。</w:t>
      </w:r>
      <w:r/>
    </w:p>
    <w:p>
      <w:pPr>
        <w:ind w:firstLine="480"/>
        <w:jc w:val="left"/>
        <w:spacing w:line="360" w:lineRule="auto"/>
        <w:rPr>
          <w:rFonts w:hint="eastAsia" w:ascii="宋体" w:hAnsi="宋体"/>
          <w:sz w:val="24"/>
          <w:szCs w:val="24"/>
        </w:rPr>
      </w:pPr>
      <w:r>
        <w:rPr>
          <w:rFonts w:hint="eastAsia" w:ascii="宋体" w:hAnsi="宋体"/>
          <w:sz w:val="24"/>
          <w:szCs w:val="24"/>
        </w:rPr>
        <w:t xml:space="preserve">3.采购人使用该货物的任何一部分，当受第三方提出的侵犯其专利权、商标权或工业设计权的投诉时，一切后果由中标人负责。</w:t>
      </w:r>
      <w:r/>
    </w:p>
    <w:p>
      <w:pPr>
        <w:ind w:firstLine="480"/>
        <w:jc w:val="left"/>
        <w:spacing w:line="360" w:lineRule="auto"/>
        <w:rPr>
          <w:rFonts w:hint="eastAsia" w:ascii="宋体" w:hAnsi="宋体"/>
          <w:sz w:val="24"/>
          <w:szCs w:val="24"/>
        </w:rPr>
      </w:pPr>
      <w:r>
        <w:rPr>
          <w:rFonts w:hint="eastAsia" w:ascii="宋体" w:hAnsi="宋体"/>
          <w:sz w:val="24"/>
          <w:szCs w:val="24"/>
        </w:rPr>
        <w:t xml:space="preserve">4.安装和调试：中标供应商按采购人要求时间及地点负责全过程的施工、安装、调试、试运行工作</w:t>
      </w:r>
      <w:r/>
    </w:p>
    <w:p>
      <w:pPr>
        <w:ind w:firstLine="480"/>
        <w:jc w:val="left"/>
        <w:spacing w:line="360" w:lineRule="auto"/>
        <w:rPr>
          <w:rFonts w:hint="eastAsia" w:ascii="宋体" w:hAnsi="宋体"/>
          <w:sz w:val="24"/>
          <w:szCs w:val="24"/>
        </w:rPr>
      </w:pPr>
      <w:r>
        <w:rPr>
          <w:rFonts w:hint="eastAsia" w:ascii="宋体" w:hAnsi="宋体"/>
          <w:sz w:val="24"/>
          <w:szCs w:val="24"/>
        </w:rPr>
        <w:t xml:space="preserve">5.实施进度要求：中标人进场组织项目实施要提供项目进度计划表，项目进度计划表需要提前提交采购人确认。中标人保证拟派的项目实施人员及技术力量符合项目要求，确保项目按时完工。</w:t>
      </w:r>
      <w:r/>
    </w:p>
    <w:p>
      <w:pPr>
        <w:ind w:firstLine="480"/>
        <w:jc w:val="left"/>
        <w:spacing w:line="360" w:lineRule="auto"/>
        <w:rPr>
          <w:rFonts w:hint="eastAsia" w:ascii="宋体" w:hAnsi="宋体"/>
          <w:sz w:val="24"/>
          <w:szCs w:val="24"/>
        </w:rPr>
      </w:pPr>
      <w:r>
        <w:rPr>
          <w:rFonts w:hint="eastAsia" w:ascii="宋体" w:hAnsi="宋体"/>
          <w:sz w:val="24"/>
          <w:szCs w:val="24"/>
        </w:rPr>
        <w:t xml:space="preserve">6.项目实施安全要求：中标人在项目实施过程中，应严格遵守安全工作的相关规范，应按相应安全规程操作，如在项目实施过程中发生安全事故，责任由中标人自负。</w:t>
      </w:r>
      <w:r/>
    </w:p>
    <w:p>
      <w:pPr>
        <w:pStyle w:val="737"/>
        <w:ind w:firstLine="468"/>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网络运维要求：保障项目实施过程中、完工后的网络安全和数据安全维护以及信息安全突发事件保障及处理，确保项目验收后师生能够正常访问和使用系统，所有网络设备及线路的日常巡检、故障排查、安全策略更新均由中标人负责，定期提交网络安全运行报告，确保数据完整性和系统稳定性。</w:t>
      </w:r>
      <w:r/>
    </w:p>
    <w:p>
      <w:pPr>
        <w:ind w:firstLine="480"/>
        <w:jc w:val="left"/>
        <w:spacing w:line="360" w:lineRule="auto"/>
        <w:rPr>
          <w:rFonts w:ascii="Times New Roman" w:hAnsi="Times New Roman"/>
          <w:sz w:val="24"/>
          <w:szCs w:val="24"/>
        </w:rPr>
      </w:pPr>
      <w:r>
        <w:rPr>
          <w:rFonts w:hint="eastAsia" w:ascii="宋体" w:hAnsi="宋体"/>
          <w:sz w:val="24"/>
          <w:szCs w:val="24"/>
          <w:lang w:val="en-US" w:eastAsia="zh-CN"/>
        </w:rPr>
        <w:t xml:space="preserve">8</w:t>
      </w:r>
      <w:r>
        <w:rPr>
          <w:rFonts w:hint="eastAsia" w:ascii="宋体" w:hAnsi="宋体"/>
          <w:sz w:val="24"/>
          <w:szCs w:val="24"/>
        </w:rPr>
        <w:t xml:space="preserve">.电气布线（地面以上部分）要包含DN25mm阻燃线管和2.5平方国标线材，符合国家标准。给、排水系统（地面以上部分）选择规格：ф32、ф25、ф20；DN75、DN50；给水：采用PPR复合管敷设；排水：使用国标PVC专用排水管。地面改造：目前改造需求需要把</w:t>
      </w:r>
      <w:r>
        <w:rPr>
          <w:rFonts w:hint="eastAsia" w:ascii="宋体" w:hAnsi="宋体"/>
          <w:sz w:val="24"/>
          <w:szCs w:val="24"/>
          <w:lang w:val="en-US" w:eastAsia="zh-CN"/>
        </w:rPr>
        <w:t xml:space="preserve">瓷砖</w:t>
      </w:r>
      <w:r>
        <w:rPr>
          <w:rFonts w:hint="eastAsia" w:ascii="宋体" w:hAnsi="宋体"/>
          <w:sz w:val="24"/>
          <w:szCs w:val="24"/>
        </w:rPr>
        <w:t xml:space="preserve">全部拆除并进行地板铺设改造，具体施工量由投标人自行勘察。实验室吊顶改造：因实验室上方管道众多，需进行吊顶改造。</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七、国家或行业相关规范标准</w:t>
      </w:r>
      <w:r/>
    </w:p>
    <w:p>
      <w:pPr>
        <w:keepLines w:val="0"/>
        <w:keepNext w:val="0"/>
        <w:pageBreakBefore w:val="0"/>
        <w:spacing w:line="480" w:lineRule="auto"/>
        <w:widowControl w:val="off"/>
        <w:rPr>
          <w:rFonts w:hint="default"/>
          <w:sz w:val="24"/>
          <w:szCs w:val="24"/>
          <w:lang w:val="en-US" w:eastAsia="zh-CN"/>
        </w:rPr>
      </w:pPr>
      <w:r>
        <w:rPr>
          <w:rFonts w:hint="default"/>
          <w:sz w:val="24"/>
          <w:szCs w:val="24"/>
          <w:lang w:val="en-US" w:eastAsia="zh-CN"/>
        </w:rPr>
        <w:t xml:space="preserve">《人造板及饰面人造板理化性能试验方法》标准GB/T 17657-2022</w:t>
      </w:r>
      <w:r/>
    </w:p>
    <w:p>
      <w:pPr>
        <w:keepLines w:val="0"/>
        <w:keepNext w:val="0"/>
        <w:pageBreakBefore w:val="0"/>
        <w:spacing w:line="480" w:lineRule="auto"/>
        <w:widowControl w:val="off"/>
        <w:rPr>
          <w:rFonts w:hint="default"/>
          <w:sz w:val="24"/>
          <w:szCs w:val="24"/>
          <w:lang w:val="en-US" w:eastAsia="zh-CN"/>
        </w:rPr>
      </w:pPr>
      <w:r>
        <w:rPr>
          <w:rFonts w:hint="default"/>
          <w:sz w:val="24"/>
          <w:szCs w:val="24"/>
          <w:lang w:val="en-US" w:eastAsia="zh-CN"/>
        </w:rPr>
        <w:t xml:space="preserve">《室内装饰装修材料 人造板及其制品中甲醛释放限量》GB 18580-2017</w:t>
      </w:r>
      <w:r/>
    </w:p>
    <w:p>
      <w:pPr>
        <w:keepLines w:val="0"/>
        <w:keepNext w:val="0"/>
        <w:pageBreakBefore w:val="0"/>
        <w:spacing w:line="480" w:lineRule="auto"/>
        <w:widowControl w:val="off"/>
        <w:rPr>
          <w:rFonts w:hint="default"/>
          <w:sz w:val="24"/>
          <w:szCs w:val="24"/>
          <w:lang w:val="en-US" w:eastAsia="zh-CN"/>
        </w:rPr>
      </w:pPr>
      <w:r>
        <w:rPr>
          <w:rFonts w:hint="default"/>
          <w:sz w:val="24"/>
          <w:szCs w:val="24"/>
          <w:lang w:val="en-US" w:eastAsia="zh-CN"/>
        </w:rPr>
        <w:t xml:space="preserve">《抗菌防霉木质装饰板》标准JC/T2039-2010</w:t>
      </w:r>
      <w:r/>
    </w:p>
    <w:p>
      <w:pPr>
        <w:keepLines w:val="0"/>
        <w:keepNext w:val="0"/>
        <w:pageBreakBefore w:val="0"/>
        <w:spacing w:line="480" w:lineRule="auto"/>
        <w:widowControl w:val="off"/>
        <w:rPr>
          <w:rFonts w:hint="default"/>
          <w:sz w:val="24"/>
          <w:szCs w:val="24"/>
          <w:lang w:val="en-US" w:eastAsia="zh-CN"/>
        </w:rPr>
      </w:pPr>
      <w:r>
        <w:rPr>
          <w:rFonts w:hint="default"/>
          <w:sz w:val="24"/>
          <w:szCs w:val="24"/>
          <w:lang w:val="en-US" w:eastAsia="zh-CN"/>
        </w:rPr>
        <w:t xml:space="preserve">《塑料 燃烧性能的测定 水平法和垂直法》标准GB/T 2408-2021</w:t>
      </w:r>
      <w:r/>
    </w:p>
    <w:p>
      <w:pPr>
        <w:ind w:firstLine="480"/>
        <w:jc w:val="left"/>
        <w:spacing w:line="360" w:lineRule="auto"/>
        <w:rPr>
          <w:rFonts w:ascii="Times New Roman" w:hAnsi="Times New Roman"/>
          <w:sz w:val="24"/>
          <w:szCs w:val="24"/>
        </w:rPr>
      </w:pPr>
      <w:r>
        <w:rPr>
          <w:rFonts w:hint="eastAsia" w:ascii="宋体" w:hAnsi="宋体"/>
          <w:sz w:val="24"/>
          <w:szCs w:val="24"/>
        </w:rPr>
        <w:t xml:space="preserve">上述标准为一般性要求，项目实施期间如有最新要求，按最新标准执行。</w:t>
      </w:r>
      <w:r/>
    </w:p>
    <w:p>
      <w:pPr>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八、人员配备要求</w:t>
      </w:r>
      <w:r/>
    </w:p>
    <w:p>
      <w:pPr>
        <w:pStyle w:val="737"/>
        <w:ind w:firstLine="468"/>
        <w:rPr>
          <w:rFonts w:hint="eastAsia" w:ascii="宋体" w:hAnsi="宋体"/>
          <w:sz w:val="24"/>
          <w:szCs w:val="24"/>
          <w:lang w:eastAsia="zh-CN"/>
        </w:rPr>
      </w:pPr>
      <w:r>
        <w:rPr>
          <w:rFonts w:hint="eastAsia" w:asciiTheme="minorEastAsia" w:hAnsiTheme="minorEastAsia" w:eastAsiaTheme="minorEastAsia" w:cstheme="minorEastAsia"/>
          <w:sz w:val="24"/>
          <w:szCs w:val="24"/>
        </w:rPr>
        <w:t xml:space="preserve">为保证项目实施，本项目需配备专业的项目实施团队，包含项目负责人1</w:t>
      </w:r>
      <w:r>
        <w:rPr>
          <w:rFonts w:hint="eastAsia" w:asciiTheme="minorEastAsia" w:hAnsiTheme="minorEastAsia" w:eastAsiaTheme="minorEastAsia" w:cstheme="minorEastAsia"/>
          <w:sz w:val="24"/>
          <w:szCs w:val="24"/>
          <w:highlight w:val="none"/>
        </w:rPr>
        <w:t xml:space="preserve">名，及若干专业技术人员。拟派的项目负责人具体负责项目全过程的各项工作，把握项目进度、质量把控、产品验收、包装运输、指导安装、调试及验收等，具有信息系统项目管理、电子信息、系统规划与管理等方面的专业技术，</w:t>
      </w:r>
      <w:r>
        <w:rPr>
          <w:rFonts w:hint="eastAsia" w:asciiTheme="minorEastAsia" w:hAnsiTheme="minorEastAsia" w:eastAsiaTheme="minorEastAsia" w:cstheme="minorEastAsia"/>
          <w:sz w:val="24"/>
          <w:szCs w:val="24"/>
          <w:highlight w:val="none"/>
          <w:lang w:val="en-US" w:eastAsia="zh-CN"/>
        </w:rPr>
        <w:t xml:space="preserve">并</w:t>
      </w:r>
      <w:r>
        <w:rPr>
          <w:rFonts w:hint="eastAsia" w:asciiTheme="minorEastAsia" w:hAnsiTheme="minorEastAsia" w:eastAsiaTheme="minorEastAsia" w:cstheme="minorEastAsia"/>
          <w:sz w:val="24"/>
          <w:szCs w:val="24"/>
          <w:highlight w:val="none"/>
        </w:rPr>
        <w:t xml:space="preserve">有实验室设备建设改造、相关软件运行维护等经验，能够及时与采购人对接工作，指导项目团队成员认真完成每一项工作。拟派的项目团队成员需为专业人员，且具有网络规划</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信息安全管理等方面的专业技术</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参与类似项目的经验。</w:t>
      </w:r>
      <w:r>
        <w:rPr>
          <w:rFonts w:hint="eastAsia" w:asciiTheme="minorEastAsia" w:hAnsiTheme="minorEastAsia" w:eastAsiaTheme="minorEastAsia" w:cstheme="minorEastAsia"/>
          <w:sz w:val="24"/>
          <w:szCs w:val="24"/>
          <w:highlight w:val="none"/>
          <w:lang w:val="en-US" w:eastAsia="zh-CN"/>
        </w:rPr>
        <w:t xml:space="preserve">能够在规定的时间内完成货物安装、调试，软件平台升级维护，保障项目实施过程中网络数据安全，能够有效应对信息安全突发情况等。</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九、履约验收要求</w:t>
      </w:r>
      <w:r/>
    </w:p>
    <w:p>
      <w:pPr>
        <w:ind w:firstLine="562"/>
        <w:jc w:val="left"/>
        <w:spacing w:line="360" w:lineRule="auto"/>
        <w:rPr>
          <w:rFonts w:hint="eastAsia" w:ascii="宋体" w:hAnsi="宋体" w:cs="宋体"/>
          <w:b/>
          <w:bCs w:val="0"/>
          <w:i/>
          <w:iCs/>
          <w:sz w:val="24"/>
          <w:szCs w:val="24"/>
          <w:u w:val="single"/>
        </w:rPr>
      </w:pPr>
      <w:r>
        <w:rPr>
          <w:rFonts w:hint="eastAsia" w:ascii="宋体" w:hAnsi="宋体" w:cs="宋体"/>
          <w:b/>
          <w:bCs w:val="0"/>
          <w:i/>
          <w:iCs/>
          <w:sz w:val="24"/>
          <w:szCs w:val="24"/>
          <w:u w:val="single"/>
        </w:rPr>
        <w:t xml:space="preserve">1.</w:t>
      </w:r>
      <w:r>
        <w:rPr>
          <w:rFonts w:hint="eastAsia" w:ascii="宋体" w:hAnsi="宋体" w:eastAsia="宋体" w:cs="宋体"/>
          <w:b/>
          <w:bCs/>
          <w:i/>
          <w:iCs/>
          <w:sz w:val="24"/>
          <w:szCs w:val="24"/>
          <w:u w:val="single"/>
          <w:lang w:eastAsia="zh-CN"/>
        </w:rPr>
        <w:t xml:space="preserve">中标人须在合同签订后</w:t>
      </w:r>
      <w:r>
        <w:rPr>
          <w:rFonts w:hint="eastAsia" w:ascii="宋体" w:hAnsi="宋体" w:eastAsia="宋体" w:cs="宋体"/>
          <w:b/>
          <w:bCs/>
          <w:i/>
          <w:iCs/>
          <w:sz w:val="24"/>
          <w:szCs w:val="24"/>
          <w:u w:val="single"/>
          <w:lang w:val="en-US" w:eastAsia="zh-CN"/>
        </w:rPr>
        <w:t xml:space="preserve">40</w:t>
      </w:r>
      <w:r>
        <w:rPr>
          <w:rFonts w:hint="eastAsia" w:ascii="宋体" w:hAnsi="宋体" w:eastAsia="宋体" w:cs="宋体"/>
          <w:b/>
          <w:bCs/>
          <w:i/>
          <w:iCs/>
          <w:sz w:val="24"/>
          <w:szCs w:val="24"/>
          <w:u w:val="single"/>
          <w:lang w:eastAsia="zh-CN"/>
        </w:rPr>
        <w:t xml:space="preserve">天内完成合同内软硬件的安装、调试、试运行等工作，由采购人单位按国家</w:t>
      </w:r>
      <w:r>
        <w:rPr>
          <w:rFonts w:hint="eastAsia" w:ascii="宋体" w:hAnsi="宋体" w:cs="宋体"/>
          <w:b/>
          <w:bCs/>
          <w:i/>
          <w:iCs/>
          <w:sz w:val="24"/>
          <w:szCs w:val="24"/>
          <w:u w:val="single"/>
          <w:lang w:eastAsia="zh-CN"/>
        </w:rPr>
        <w:t xml:space="preserve">、</w:t>
      </w:r>
      <w:r>
        <w:rPr>
          <w:rFonts w:hint="eastAsia" w:ascii="宋体" w:hAnsi="宋体" w:eastAsia="宋体" w:cs="宋体"/>
          <w:b/>
          <w:bCs/>
          <w:i/>
          <w:iCs/>
          <w:sz w:val="24"/>
          <w:szCs w:val="24"/>
          <w:u w:val="single"/>
          <w:lang w:eastAsia="zh-CN"/>
        </w:rPr>
        <w:t xml:space="preserve">行业标准和招标文件、投标文件及合同约定的技术参数及功能指标要求</w:t>
      </w:r>
      <w:r>
        <w:rPr>
          <w:rFonts w:hint="eastAsia" w:ascii="宋体" w:hAnsi="宋体" w:cs="宋体"/>
          <w:b/>
          <w:bCs/>
          <w:i/>
          <w:iCs/>
          <w:sz w:val="24"/>
          <w:szCs w:val="24"/>
          <w:u w:val="single"/>
          <w:lang w:val="en-US" w:eastAsia="zh-CN"/>
        </w:rPr>
        <w:t xml:space="preserve">对设备</w:t>
      </w:r>
      <w:r>
        <w:rPr>
          <w:rFonts w:hint="eastAsia" w:ascii="宋体" w:hAnsi="宋体" w:eastAsia="宋体" w:cs="宋体"/>
          <w:b/>
          <w:bCs/>
          <w:i/>
          <w:iCs/>
          <w:sz w:val="24"/>
          <w:szCs w:val="24"/>
          <w:u w:val="single"/>
          <w:lang w:eastAsia="zh-CN"/>
        </w:rPr>
        <w:t xml:space="preserve">进行验收，并出具项目验收报告。对于中标人未按合同约定提供设备或服务的，采购人具有依法追究其违约责任的权利。（投标文件中提供加盖投标人公章的承诺函，格式自拟，否则投标无效）</w:t>
      </w:r>
      <w:r/>
    </w:p>
    <w:p>
      <w:pPr>
        <w:ind w:firstLine="562"/>
        <w:jc w:val="left"/>
        <w:spacing w:line="360" w:lineRule="auto"/>
        <w:rPr>
          <w:rFonts w:hint="eastAsia" w:ascii="宋体" w:hAnsi="宋体" w:cs="宋体"/>
          <w:bCs/>
          <w:sz w:val="24"/>
          <w:szCs w:val="24"/>
        </w:rPr>
      </w:pPr>
      <w:r>
        <w:rPr>
          <w:rFonts w:hint="eastAsia" w:ascii="宋体" w:hAnsi="宋体" w:cs="宋体"/>
          <w:bCs/>
          <w:sz w:val="24"/>
          <w:szCs w:val="24"/>
        </w:rPr>
        <w:t xml:space="preserve">2.中标人提供的货物在质保期内因货物本身的质量问题发生故障，中标人负责更换</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且不另外收取费用</w:t>
      </w:r>
      <w:r>
        <w:rPr>
          <w:rFonts w:hint="eastAsia" w:ascii="宋体" w:hAnsi="宋体" w:cs="宋体"/>
          <w:bCs/>
          <w:sz w:val="24"/>
          <w:szCs w:val="24"/>
        </w:rPr>
        <w:t xml:space="preserve">。</w:t>
      </w:r>
      <w:r/>
    </w:p>
    <w:p>
      <w:pPr>
        <w:ind w:firstLine="562"/>
        <w:jc w:val="left"/>
        <w:spacing w:line="360" w:lineRule="auto"/>
        <w:rPr>
          <w:rFonts w:hint="eastAsia" w:ascii="宋体" w:hAnsi="宋体" w:cs="宋体"/>
          <w:bCs/>
          <w:sz w:val="24"/>
          <w:szCs w:val="24"/>
        </w:rPr>
      </w:pPr>
      <w:r>
        <w:rPr>
          <w:rFonts w:hint="eastAsia" w:ascii="宋体" w:hAnsi="宋体" w:cs="宋体"/>
          <w:bCs/>
          <w:sz w:val="24"/>
          <w:szCs w:val="24"/>
        </w:rPr>
        <w:t xml:space="preserve">3.采购人对中标人提交的货物依据招标文件上的技术规格要求和国家有关质量标准进行现场初步验收。中标人交货前应对产品作出全面检查和对验收文件进行整理，并列出清单，作为采购人收货验收和使用的技术条件依据，检验的结果应随货物交采购人。采购人对中标人提供的货物在交付验收前，中标人需负责安装并培训采购人的使用操作人员，上述工作完成后采购人应予最终验收。</w:t>
      </w:r>
      <w:r/>
    </w:p>
    <w:p>
      <w:pPr>
        <w:ind w:firstLine="562"/>
        <w:jc w:val="left"/>
        <w:spacing w:line="360" w:lineRule="auto"/>
        <w:rPr>
          <w:rFonts w:hint="eastAsia" w:ascii="宋体" w:hAnsi="宋体" w:cs="宋体"/>
          <w:bCs/>
          <w:sz w:val="24"/>
          <w:szCs w:val="24"/>
        </w:rPr>
      </w:pPr>
      <w:r>
        <w:rPr>
          <w:rFonts w:hint="eastAsia" w:ascii="宋体" w:hAnsi="宋体" w:cs="宋体"/>
          <w:bCs/>
          <w:sz w:val="24"/>
          <w:szCs w:val="24"/>
        </w:rPr>
        <w:t xml:space="preserve">4.硬件设备验收要求：相关硬件设备安装完成后，提交设备清单及说明书等资料，中标人可申请进行硬件设备验收。采购人收到完整的材料后一个月内完成验收，形成验收意见，验收书双方共同签署。对于不满足要求的，提出整改，整改完成后再重新进行验收，直至符合招标文件要求。</w:t>
      </w:r>
      <w:r/>
    </w:p>
    <w:p>
      <w:pPr>
        <w:ind w:firstLine="562"/>
        <w:jc w:val="left"/>
        <w:spacing w:line="360" w:lineRule="auto"/>
        <w:rPr>
          <w:rFonts w:hint="eastAsia" w:ascii="宋体" w:hAnsi="宋体" w:cs="宋体"/>
          <w:bCs/>
          <w:sz w:val="24"/>
          <w:szCs w:val="24"/>
        </w:rPr>
      </w:pPr>
      <w:r>
        <w:rPr>
          <w:rFonts w:hint="eastAsia" w:ascii="宋体" w:hAnsi="宋体" w:cs="宋体"/>
          <w:bCs/>
          <w:sz w:val="24"/>
          <w:szCs w:val="24"/>
        </w:rPr>
        <w:t xml:space="preserve">5.软件系统平台验收要求：相关软件系统平台部署完成后，提供软件使用说明书并组织相关培训，软件系统平台自交付起12个月，完成功能性、兼容性、稳定性验收，形成应收意见，验收书双方共同签署。对于不满足要求的，提出整改，整改完成后再重新进行验收，直至符合招标文件要求。</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十、培训要求</w:t>
      </w:r>
      <w:r/>
    </w:p>
    <w:p>
      <w:pPr>
        <w:ind w:firstLine="480"/>
        <w:spacing w:line="360" w:lineRule="auto"/>
        <w:rPr>
          <w:rFonts w:ascii="宋体" w:hAnsi="宋体"/>
          <w:sz w:val="24"/>
          <w:szCs w:val="24"/>
        </w:rPr>
      </w:pPr>
      <w:r>
        <w:rPr>
          <w:rFonts w:hint="eastAsia" w:ascii="宋体" w:hAnsi="宋体"/>
          <w:sz w:val="24"/>
          <w:szCs w:val="24"/>
        </w:rPr>
        <w:t xml:space="preserve">1.中标人须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        </w:t>
      </w:r>
      <w:r/>
    </w:p>
    <w:p>
      <w:pPr>
        <w:ind w:firstLine="480"/>
        <w:spacing w:line="360" w:lineRule="auto"/>
        <w:rPr>
          <w:rFonts w:ascii="宋体" w:hAnsi="宋体"/>
          <w:sz w:val="24"/>
          <w:szCs w:val="24"/>
        </w:rPr>
      </w:pPr>
      <w:r>
        <w:rPr>
          <w:rFonts w:hint="eastAsia" w:ascii="宋体" w:hAnsi="宋体"/>
          <w:sz w:val="24"/>
          <w:szCs w:val="24"/>
        </w:rPr>
        <w:t xml:space="preserve">2.制定完善的培训计划，需明确培训目标、培训对象、培训方式、培训地点、培训内容、培训记录等。培训所需要的费用已包含在预算金额中。</w:t>
      </w:r>
      <w:r/>
    </w:p>
    <w:p>
      <w:pPr>
        <w:ind w:firstLine="480"/>
        <w:spacing w:line="360" w:lineRule="auto"/>
        <w:rPr>
          <w:rFonts w:ascii="宋体" w:hAnsi="宋体"/>
          <w:sz w:val="24"/>
          <w:szCs w:val="24"/>
        </w:rPr>
      </w:pPr>
      <w:r>
        <w:rPr>
          <w:rFonts w:hint="eastAsia" w:ascii="宋体" w:hAnsi="宋体"/>
          <w:sz w:val="24"/>
          <w:szCs w:val="24"/>
        </w:rPr>
        <w:t xml:space="preserve">3.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firstLine="480"/>
        <w:spacing w:line="360" w:lineRule="auto"/>
        <w:rPr>
          <w:rFonts w:ascii="宋体" w:hAnsi="宋体"/>
          <w:sz w:val="24"/>
          <w:szCs w:val="24"/>
        </w:rPr>
      </w:pPr>
      <w:r>
        <w:rPr>
          <w:rFonts w:hint="eastAsia" w:ascii="宋体" w:hAnsi="宋体"/>
          <w:sz w:val="24"/>
          <w:szCs w:val="24"/>
        </w:rPr>
        <w:t xml:space="preserve">4.培训对象：包括但不限于以下人员：系统业务应用人员、系统运行维护管理人员等。</w:t>
      </w:r>
      <w:r/>
    </w:p>
    <w:p>
      <w:pPr>
        <w:ind w:firstLine="480"/>
        <w:spacing w:line="360" w:lineRule="auto"/>
        <w:rPr>
          <w:rFonts w:ascii="宋体" w:hAnsi="宋体"/>
          <w:sz w:val="24"/>
          <w:szCs w:val="24"/>
        </w:rPr>
      </w:pPr>
      <w:r>
        <w:rPr>
          <w:rFonts w:hint="eastAsia" w:ascii="宋体" w:hAnsi="宋体"/>
          <w:sz w:val="24"/>
          <w:szCs w:val="24"/>
        </w:rPr>
        <w:t xml:space="preserve">5.培训方式：集中授课、现场应用操作指导等。</w:t>
      </w:r>
      <w:r/>
    </w:p>
    <w:p>
      <w:pPr>
        <w:ind w:firstLine="480"/>
        <w:jc w:val="left"/>
        <w:spacing w:line="360" w:lineRule="auto"/>
        <w:rPr>
          <w:rFonts w:ascii="Times New Roman" w:hAnsi="Times New Roman"/>
          <w:sz w:val="24"/>
          <w:szCs w:val="24"/>
        </w:rPr>
      </w:pPr>
      <w:r>
        <w:rPr>
          <w:rFonts w:hint="eastAsia" w:ascii="宋体" w:hAnsi="宋体"/>
          <w:sz w:val="24"/>
        </w:rPr>
        <w:t xml:space="preserve">6.培训内容：由专业资深工程师、专业资格人员和行业专家进行培训，内容包含但不限于系统总体情况进行介绍、应用操作、常见故障分析、系统维护工作等。</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十一、售后服务要求</w:t>
      </w:r>
      <w:r/>
    </w:p>
    <w:p>
      <w:pPr>
        <w:ind w:firstLine="562"/>
        <w:jc w:val="left"/>
        <w:spacing w:line="360" w:lineRule="auto"/>
        <w:rPr>
          <w:rFonts w:hint="eastAsia" w:ascii="宋体" w:hAnsi="宋体"/>
          <w:b/>
          <w:bCs w:val="0"/>
          <w:i/>
          <w:iCs/>
          <w:sz w:val="24"/>
          <w:szCs w:val="24"/>
          <w:u w:val="single"/>
        </w:rPr>
      </w:pPr>
      <w:r>
        <w:rPr>
          <w:rFonts w:hint="eastAsia" w:ascii="宋体" w:hAnsi="宋体"/>
          <w:b/>
          <w:bCs w:val="0"/>
          <w:i/>
          <w:iCs/>
          <w:sz w:val="24"/>
          <w:szCs w:val="24"/>
          <w:u w:val="single"/>
        </w:rPr>
        <w:t xml:space="preserve">1.质保期：不低于三年。（投标文件中提供加盖投标人公章的承诺函，格式自拟，否则投标无效）</w:t>
      </w:r>
      <w:r/>
    </w:p>
    <w:p>
      <w:pPr>
        <w:ind w:firstLine="562"/>
        <w:jc w:val="left"/>
        <w:spacing w:line="360" w:lineRule="auto"/>
        <w:rPr>
          <w:rFonts w:hint="eastAsia" w:ascii="宋体" w:hAnsi="宋体"/>
          <w:b/>
          <w:bCs w:val="0"/>
          <w:i/>
          <w:iCs/>
          <w:sz w:val="24"/>
          <w:szCs w:val="24"/>
          <w:u w:val="single"/>
        </w:rPr>
      </w:pPr>
      <w:r>
        <w:rPr>
          <w:rFonts w:hint="eastAsia" w:ascii="宋体" w:hAnsi="宋体"/>
          <w:b/>
          <w:bCs w:val="0"/>
          <w:i/>
          <w:iCs/>
          <w:sz w:val="24"/>
          <w:szCs w:val="24"/>
          <w:u w:val="single"/>
        </w:rPr>
        <w:t xml:space="preserve">2.质保期间，中标人承担维修、保养、安检、调换、软件平台升级更新维护相关费用包含在预算内，采购方不再支付任何费用；对于采购方人为原因造成的故障，中标人只收取质保成本费用。（投标文件中提供加盖投标人公章的承诺函，格式自拟，否则投标无效）</w:t>
      </w:r>
      <w:r/>
    </w:p>
    <w:p>
      <w:pPr>
        <w:ind w:firstLine="562"/>
        <w:jc w:val="left"/>
        <w:spacing w:line="360" w:lineRule="auto"/>
        <w:rPr>
          <w:rFonts w:hint="eastAsia" w:ascii="宋体" w:hAnsi="宋体"/>
          <w:bCs/>
          <w:sz w:val="24"/>
          <w:szCs w:val="24"/>
        </w:rPr>
      </w:pPr>
      <w:r>
        <w:rPr>
          <w:rFonts w:hint="eastAsia" w:ascii="宋体" w:hAnsi="宋体"/>
          <w:bCs/>
          <w:sz w:val="24"/>
          <w:szCs w:val="24"/>
        </w:rPr>
        <w:t xml:space="preserve">3.质保期内，一旦发生故障或质量问题，须48小时内响应并解决问题。如需要到现场解决的，12小时内组织人员到达现场，及时进行维修、更换或退货处理，费用由中标人负责。产品出现故障48小时不能修复的，提供同等功能的货物供采购人使用，直至故障修复。质保期内因产品本身质量原因造成的直接经济损失应由中标人负责。</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十二、商品包装及快递包装要求</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十三、投标报价要求</w:t>
      </w:r>
      <w:r/>
    </w:p>
    <w:p>
      <w:pPr>
        <w:ind w:firstLine="480"/>
        <w:spacing w:line="360" w:lineRule="auto"/>
        <w:rPr>
          <w:rFonts w:ascii="宋体" w:hAnsi="宋体"/>
          <w:sz w:val="24"/>
          <w:szCs w:val="24"/>
        </w:rPr>
      </w:pPr>
      <w:r>
        <w:rPr>
          <w:rFonts w:hint="eastAsia" w:ascii="宋体" w:hAnsi="宋体"/>
          <w:sz w:val="24"/>
          <w:szCs w:val="24"/>
        </w:rPr>
        <w:t xml:space="preserve">1、本项目报价不得超过预算价（最高限价）。</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、供应商的任何错漏、优惠、竞争性报价不得作为减轻责任、减少服务、增加收费、降低服务质量的理由；</w:t>
      </w:r>
      <w:r/>
    </w:p>
    <w:p>
      <w:pPr>
        <w:pStyle w:val="706"/>
        <w:ind w:firstLine="480"/>
        <w:rPr>
          <w:sz w:val="24"/>
          <w:lang w:eastAsia="zh-CN"/>
        </w:rPr>
      </w:pPr>
      <w:r>
        <w:rPr>
          <w:sz w:val="24"/>
          <w:lang w:eastAsia="zh-CN"/>
        </w:rPr>
        <w:t xml:space="preserve">4</w:t>
      </w:r>
      <w:r>
        <w:rPr>
          <w:rFonts w:hint="eastAsia"/>
          <w:sz w:val="24"/>
          <w:lang w:eastAsia="zh-CN"/>
        </w:rPr>
        <w:t xml:space="preserve">、供应商报价除包含采购文件中列明的项目外还应包括保障服务正常运行应当具有的物资和服务，对服务正常运行应当具有的物资和服务理解不一致的以采购人理解为准。</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十四、付款方式与履约保证金</w:t>
      </w:r>
      <w:r/>
    </w:p>
    <w:p>
      <w:pPr>
        <w:ind w:firstLine="480"/>
        <w:jc w:val="left"/>
        <w:spacing w:line="360" w:lineRule="auto"/>
        <w:rPr>
          <w:rFonts w:ascii="宋体" w:hAnsi="宋体"/>
          <w:sz w:val="24"/>
          <w:szCs w:val="24"/>
        </w:rPr>
      </w:pPr>
      <w:r>
        <w:rPr>
          <w:rFonts w:hint="eastAsia" w:ascii="宋体" w:hAnsi="宋体"/>
          <w:sz w:val="24"/>
          <w:szCs w:val="24"/>
        </w:rPr>
        <w:t xml:space="preserve">1、付款方式</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本项目无预付款，合同签订后，供应商按规定期限供货，不得逾期，</w:t>
      </w:r>
      <w:r>
        <w:rPr>
          <w:rFonts w:hint="eastAsia" w:ascii="宋体" w:hAnsi="宋体" w:eastAsia="宋体" w:cs="Times New Roman"/>
          <w:sz w:val="24"/>
          <w:szCs w:val="24"/>
        </w:rPr>
        <w:t xml:space="preserve">供货安装完成并最终验收合格后支付合同总金额的100％。</w:t>
      </w:r>
      <w:r/>
    </w:p>
    <w:p>
      <w:pPr>
        <w:ind w:firstLine="480"/>
        <w:jc w:val="left"/>
        <w:spacing w:line="360" w:lineRule="auto"/>
        <w:rPr>
          <w:rFonts w:ascii="宋体" w:hAnsi="宋体"/>
          <w:sz w:val="24"/>
          <w:szCs w:val="24"/>
        </w:rPr>
      </w:pPr>
      <w:r>
        <w:rPr>
          <w:rFonts w:hint="eastAsia" w:ascii="宋体" w:hAnsi="宋体"/>
          <w:sz w:val="24"/>
          <w:szCs w:val="24"/>
        </w:rPr>
        <w:t xml:space="preserve">2、履约保证金</w:t>
      </w:r>
      <w:r/>
    </w:p>
    <w:p>
      <w:pPr>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十五、其他</w:t>
      </w:r>
      <w:bookmarkEnd w:id="9"/>
      <w:r/>
      <w:bookmarkEnd w:id="10"/>
      <w:r/>
      <w:r/>
    </w:p>
    <w:p>
      <w:pPr>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p>
    <w:p>
      <w:pPr>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p>
    <w:p>
      <w:pPr>
        <w:ind w:firstLine="480"/>
        <w:jc w:val="left"/>
        <w:spacing w:line="360" w:lineRule="auto"/>
        <w:rPr>
          <w:rFonts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p>
    <w:p>
      <w:pPr>
        <w:pStyle w:val="692"/>
        <w:jc w:val="center"/>
        <w:spacing w:before="156" w:after="156" w:line="360" w:lineRule="auto"/>
        <w:rPr>
          <w:rFonts w:ascii="黑体" w:hAnsi="黑体" w:eastAsia="黑体"/>
          <w:lang w:eastAsia="zh-CN"/>
        </w:rPr>
      </w:pPr>
      <w:r/>
      <w:bookmarkStart w:id="13" w:name="_Toc165205798"/>
      <w:r>
        <w:rPr>
          <w:rFonts w:ascii="黑体" w:hAnsi="黑体" w:eastAsia="黑体"/>
          <w:lang w:eastAsia="zh-CN"/>
        </w:rPr>
        <w:t xml:space="preserve">第五章</w:t>
      </w:r>
      <w:r>
        <w:rPr>
          <w:rFonts w:hint="eastAsia" w:ascii="黑体" w:hAnsi="黑体" w:eastAsia="黑体"/>
          <w:lang w:eastAsia="zh-CN"/>
        </w:rPr>
        <w:t xml:space="preserve">  评标方法与评标标准</w:t>
      </w:r>
      <w:bookmarkEnd w:id="13"/>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lang w:val="en-US" w:eastAsia="zh-CN"/>
        </w:rPr>
        <w:t xml:space="preserve">本项目选取1名中标候选人。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bookmarkStart w:id="14" w:name="_Toc165205799"/>
      <w:r>
        <w:rPr>
          <w:rFonts w:hint="eastAsia"/>
          <w:sz w:val="24"/>
          <w:szCs w:val="24"/>
        </w:rPr>
        <w:t xml:space="preserve">（2）</w:t>
      </w:r>
      <w:r>
        <w:rPr>
          <w:rFonts w:hint="eastAsia"/>
          <w:sz w:val="24"/>
          <w:szCs w:val="24"/>
          <w:lang w:val="en-US" w:eastAsia="zh-CN"/>
        </w:rPr>
        <w:t xml:space="preserve">技术</w:t>
      </w:r>
      <w:r>
        <w:rPr>
          <w:rFonts w:hint="eastAsia"/>
          <w:sz w:val="24"/>
          <w:szCs w:val="24"/>
        </w:rPr>
        <w:t xml:space="preserve">分（</w:t>
      </w:r>
      <w:r>
        <w:rPr>
          <w:rFonts w:hint="eastAsia"/>
          <w:sz w:val="24"/>
          <w:szCs w:val="24"/>
          <w:lang w:val="en-US" w:eastAsia="zh-CN"/>
        </w:rPr>
        <w:t xml:space="preserve">43</w:t>
      </w:r>
      <w:r>
        <w:rPr>
          <w:rFonts w:hint="eastAsia"/>
          <w:sz w:val="24"/>
          <w:szCs w:val="24"/>
        </w:rPr>
        <w:t xml:space="preserve">分）</w:t>
      </w:r>
      <w:r/>
    </w:p>
    <w:tbl>
      <w:tblPr>
        <w:tblStyle w:val="702"/>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28" w:type="dxa"/>
          <w:top w:w="64" w:type="dxa"/>
          <w:right w:w="128" w:type="dxa"/>
          <w:bottom w:w="64" w:type="dxa"/>
        </w:tblCellMar>
        <w:tblLook w:val="04A0" w:firstRow="1" w:lastRow="0" w:firstColumn="1" w:lastColumn="0" w:noHBand="0" w:noVBand="1"/>
      </w:tblPr>
      <w:tblGrid>
        <w:gridCol w:w="1242"/>
        <w:gridCol w:w="7953"/>
      </w:tblGrid>
      <w:tr>
        <w:trPr>
          <w:jc w:val="center"/>
          <w:trHeight w:val="0"/>
          <w:tblHeader/>
        </w:trPr>
        <w:tc>
          <w:tcPr>
            <w:shd w:val="clear" w:color="auto" w:fill="auto"/>
            <w:tcW w:w="1242" w:type="dxa"/>
            <w:vAlign w:val="center"/>
            <w:textDirection w:val="lrTb"/>
            <w:noWrap w:val="false"/>
          </w:tcPr>
          <w:p>
            <w:pPr>
              <w:jc w:val="center"/>
              <w:keepLines w:val="0"/>
              <w:keepNext/>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评审因素</w:t>
            </w:r>
            <w:r/>
          </w:p>
        </w:tc>
        <w:tc>
          <w:tcPr>
            <w:shd w:val="clear" w:color="auto" w:fill="auto"/>
            <w:tcW w:w="7953" w:type="dxa"/>
            <w:vAlign w:val="center"/>
            <w:textDirection w:val="lrTb"/>
            <w:noWrap w:val="false"/>
          </w:tcPr>
          <w:p>
            <w:pPr>
              <w:jc w:val="center"/>
              <w:keepLines w:val="0"/>
              <w:keepNext/>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评审标准</w:t>
            </w:r>
            <w:r/>
          </w:p>
        </w:tc>
      </w:tr>
      <w:tr>
        <w:trPr>
          <w:jc w:val="center"/>
          <w:trHeight w:val="0"/>
        </w:trPr>
        <w:tc>
          <w:tcPr>
            <w:shd w:val="clear" w:color="auto" w:fill="auto"/>
            <w:tcW w:w="1242" w:type="dxa"/>
            <w:vAlign w:val="center"/>
            <w:textDirection w:val="lrTb"/>
            <w:noWrap w:val="false"/>
          </w:tcPr>
          <w:p>
            <w:pPr>
              <w:jc w:val="center"/>
              <w:keepLines w:val="0"/>
              <w:keepNext/>
              <w:pageBreakBefore w:val="0"/>
              <w:spacing w:line="5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技术参数（22分）</w:t>
            </w:r>
            <w:r/>
          </w:p>
        </w:tc>
        <w:tc>
          <w:tcPr>
            <w:shd w:val="clear" w:color="auto" w:fill="auto"/>
            <w:tcW w:w="7953" w:type="dxa"/>
            <w:vAlign w:val="center"/>
            <w:textDirection w:val="lrTb"/>
            <w:noWrap w:val="false"/>
          </w:tcPr>
          <w:p>
            <w:pPr>
              <w:jc w:val="left"/>
              <w:keepLines w:val="0"/>
              <w:keepNext/>
              <w:pageBreakBefore w:val="0"/>
              <w:spacing w:line="500" w:lineRule="exact"/>
              <w:rPr>
                <w:rFonts w:hint="eastAsia" w:asciiTheme="minorEastAsia" w:hAnsiTheme="minorEastAsia" w:eastAsiaTheme="minorEastAsia" w:cstheme="minorEastAsia"/>
                <w:sz w:val="24"/>
                <w:szCs w:val="24"/>
              </w:rPr>
            </w:pPr>
            <w:r>
              <w:rPr>
                <w:rFonts w:hint="eastAsia"/>
                <w:sz w:val="24"/>
                <w:szCs w:val="24"/>
                <w:lang w:val="en-US" w:eastAsia="zh-CN"/>
              </w:rPr>
              <w:t xml:space="preserve">本项技术参数响应基准分为22分，标注</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参数每有一项负偏离扣2分，扣完为止。</w:t>
            </w:r>
            <w:r/>
          </w:p>
          <w:p>
            <w:pPr>
              <w:jc w:val="left"/>
              <w:keepLines w:val="0"/>
              <w:keepNext/>
              <w:pageBreakBefore w:val="0"/>
              <w:spacing w:line="500" w:lineRule="exact"/>
              <w:widowControl/>
              <w:rPr>
                <w:rStyle w:val="917"/>
                <w:rFonts w:hint="eastAsia" w:asciiTheme="minorEastAsia" w:hAnsiTheme="minorEastAsia" w:eastAsiaTheme="minorEastAsia" w:cstheme="minorEastAsia"/>
                <w:sz w:val="24"/>
                <w:szCs w:val="24"/>
                <w:lang w:val="en-US" w:eastAsia="zh-CN" w:bidi="ar"/>
              </w:rPr>
              <w:suppressLineNumbers w:val="0"/>
            </w:pP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b/>
                <w:bCs/>
                <w:sz w:val="24"/>
                <w:szCs w:val="24"/>
              </w:rPr>
              <w:t xml:space="preserve">注：1.投标文件中详细填写技术要求响应及偏离表，须逐条响应</w:t>
            </w: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eastAsiaTheme="minorEastAsia" w:cstheme="minorEastAsia"/>
                <w:b/>
                <w:bCs/>
                <w:sz w:val="24"/>
                <w:szCs w:val="24"/>
              </w:rPr>
              <w:t xml:space="preserve">2.标注“▲”项</w:t>
            </w:r>
            <w:r>
              <w:rPr>
                <w:rFonts w:hint="eastAsia" w:asciiTheme="minorEastAsia" w:hAnsiTheme="minorEastAsia" w:eastAsiaTheme="minorEastAsia" w:cstheme="minorEastAsia"/>
                <w:b/>
                <w:bCs/>
                <w:sz w:val="24"/>
                <w:szCs w:val="24"/>
                <w:lang w:val="en-US" w:eastAsia="zh-CN"/>
              </w:rPr>
              <w:t xml:space="preserve">参数</w:t>
            </w:r>
            <w:r>
              <w:rPr>
                <w:rFonts w:hint="eastAsia" w:asciiTheme="minorEastAsia" w:hAnsiTheme="minorEastAsia" w:eastAsiaTheme="minorEastAsia" w:cstheme="minorEastAsia"/>
                <w:b/>
                <w:bCs/>
                <w:sz w:val="24"/>
                <w:szCs w:val="24"/>
              </w:rPr>
              <w:t xml:space="preserve">要求提供证明材料的未提供证明材料或所提供材料与招标文件要求不符的视为负偏离。3.功能相近但</w:t>
            </w:r>
            <w:r>
              <w:rPr>
                <w:rFonts w:hint="eastAsia" w:asciiTheme="minorEastAsia" w:hAnsiTheme="minorEastAsia" w:eastAsiaTheme="minorEastAsia" w:cstheme="minorEastAsia"/>
                <w:b/>
                <w:bCs/>
                <w:sz w:val="24"/>
                <w:szCs w:val="24"/>
                <w:lang w:val="zh-CN"/>
              </w:rPr>
              <w:t xml:space="preserve">名称、表述不完全一致的</w:t>
            </w: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b/>
                <w:bCs/>
                <w:sz w:val="24"/>
                <w:szCs w:val="24"/>
                <w:lang w:val="zh-CN"/>
              </w:rPr>
              <w:t xml:space="preserve">由评委现场统一认定后给予得分，</w:t>
            </w:r>
            <w:r>
              <w:rPr>
                <w:rFonts w:hint="eastAsia" w:asciiTheme="minorEastAsia" w:hAnsiTheme="minorEastAsia" w:eastAsiaTheme="minorEastAsia" w:cstheme="minorEastAsia"/>
                <w:b/>
                <w:bCs/>
                <w:sz w:val="24"/>
                <w:szCs w:val="24"/>
                <w:highlight w:val="none"/>
              </w:rPr>
              <w:t xml:space="preserve">投标人可在证明材料中作明显标识及说明，便于评审</w:t>
            </w:r>
            <w:r>
              <w:rPr>
                <w:rFonts w:hint="eastAsia" w:asciiTheme="minorEastAsia" w:hAnsiTheme="minorEastAsia" w:eastAsiaTheme="minorEastAsia" w:cstheme="minorEastAsia"/>
                <w:b/>
                <w:bCs/>
                <w:sz w:val="24"/>
                <w:szCs w:val="24"/>
                <w:highlight w:val="none"/>
                <w:lang w:val="en-US" w:eastAsia="zh-CN"/>
              </w:rPr>
              <w:t xml:space="preserve">；</w:t>
            </w:r>
            <w:r>
              <w:rPr>
                <w:rFonts w:hint="eastAsia" w:asciiTheme="minorEastAsia" w:hAnsiTheme="minorEastAsia" w:eastAsiaTheme="minorEastAsia" w:cstheme="minorEastAsia"/>
                <w:b/>
                <w:bCs/>
                <w:sz w:val="24"/>
                <w:szCs w:val="24"/>
              </w:rPr>
              <w:t xml:space="preserve">4.投标人所有提供资料都须真实有效，如发现提供虚假资料或与事实不符，</w:t>
            </w:r>
            <w:r>
              <w:rPr>
                <w:rFonts w:hint="eastAsia" w:asciiTheme="minorEastAsia" w:hAnsiTheme="minorEastAsia" w:eastAsiaTheme="minorEastAsia" w:cstheme="minorEastAsia"/>
                <w:b/>
                <w:bCs/>
                <w:sz w:val="24"/>
                <w:szCs w:val="24"/>
                <w:lang w:val="en-US" w:eastAsia="zh-CN"/>
              </w:rPr>
              <w:t xml:space="preserve">由投标人</w:t>
            </w:r>
            <w:r>
              <w:rPr>
                <w:rFonts w:hint="eastAsia" w:asciiTheme="minorEastAsia" w:hAnsiTheme="minorEastAsia" w:eastAsiaTheme="minorEastAsia" w:cstheme="minorEastAsia"/>
                <w:b/>
                <w:bCs/>
                <w:sz w:val="24"/>
                <w:szCs w:val="24"/>
              </w:rPr>
              <w:t xml:space="preserve">承担</w:t>
            </w:r>
            <w:r>
              <w:rPr>
                <w:rFonts w:hint="eastAsia" w:asciiTheme="minorEastAsia" w:hAnsiTheme="minorEastAsia" w:eastAsiaTheme="minorEastAsia" w:cstheme="minorEastAsia"/>
                <w:b/>
                <w:bCs/>
                <w:sz w:val="24"/>
                <w:szCs w:val="24"/>
                <w:lang w:val="en-US" w:eastAsia="zh-CN"/>
              </w:rPr>
              <w:t xml:space="preserve">一切不利后果。）</w:t>
            </w:r>
            <w:r/>
          </w:p>
        </w:tc>
      </w:tr>
      <w:tr>
        <w:trPr>
          <w:jc w:val="center"/>
          <w:trHeight w:val="312"/>
        </w:trPr>
        <w:tc>
          <w:tcPr>
            <w:shd w:val="clear" w:color="auto" w:fill="auto"/>
            <w:tcW w:w="1242" w:type="dxa"/>
            <w:vAlign w:val="center"/>
            <w:textDirection w:val="lrTb"/>
            <w:noWrap w:val="false"/>
          </w:tcPr>
          <w:p>
            <w:pPr>
              <w:jc w:val="center"/>
              <w:keepLines w:val="0"/>
              <w:keepNext/>
              <w:pageBreakBefore w:val="0"/>
              <w:spacing w:line="5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项目实施总体方案（8分）</w:t>
            </w:r>
            <w:r/>
          </w:p>
        </w:tc>
        <w:tc>
          <w:tcPr>
            <w:shd w:val="clear" w:color="auto" w:fill="auto"/>
            <w:tcW w:w="7953" w:type="dxa"/>
            <w:vAlign w:val="center"/>
            <w:textDirection w:val="lrTb"/>
            <w:noWrap w:val="false"/>
          </w:tcPr>
          <w:p>
            <w:pPr>
              <w:numPr>
                <w:ilvl w:val="0"/>
                <w:numId w:val="0"/>
              </w:numPr>
              <w:jc w:val="left"/>
              <w:keepLines w:val="0"/>
              <w:keepNext/>
              <w:pageBreakBefore w:val="0"/>
              <w:spacing w:line="500" w:lineRule="exact"/>
              <w:widowControl/>
              <w:rPr>
                <w:rStyle w:val="917"/>
                <w:rFonts w:hint="eastAsia" w:asciiTheme="minorEastAsia" w:hAnsiTheme="minorEastAsia" w:eastAsiaTheme="minorEastAsia" w:cstheme="minorEastAsia"/>
                <w:sz w:val="24"/>
                <w:szCs w:val="24"/>
                <w:lang w:val="en-US" w:eastAsia="zh-CN" w:bidi="ar"/>
              </w:rPr>
              <w:suppressLineNumbers w:val="0"/>
            </w:pPr>
            <w:r>
              <w:rPr>
                <w:rFonts w:hint="eastAsia" w:asciiTheme="minorEastAsia" w:hAnsiTheme="minorEastAsia" w:eastAsiaTheme="minorEastAsia" w:cstheme="minorEastAsia"/>
                <w:sz w:val="24"/>
                <w:szCs w:val="24"/>
              </w:rPr>
              <w:t xml:space="preserve">投</w:t>
            </w:r>
            <w:r>
              <w:rPr>
                <w:rStyle w:val="917"/>
                <w:rFonts w:hint="eastAsia" w:asciiTheme="minorEastAsia" w:hAnsiTheme="minorEastAsia" w:eastAsiaTheme="minorEastAsia" w:cstheme="minorEastAsia"/>
                <w:sz w:val="24"/>
                <w:szCs w:val="24"/>
                <w:lang w:val="en-US" w:eastAsia="zh-CN" w:bidi="ar"/>
              </w:rPr>
              <w:t xml:space="preserve">标人根据项目需求提供项目实施总体方案，内容包括但不限于组织和实施流程、设备安装方案、进度计划、质量保证措施、紧急预案等。</w:t>
            </w:r>
            <w:r/>
          </w:p>
          <w:p>
            <w:pPr>
              <w:numPr>
                <w:ilvl w:val="0"/>
                <w:numId w:val="0"/>
              </w:numPr>
              <w:jc w:val="left"/>
              <w:keepLines w:val="0"/>
              <w:keepNext/>
              <w:pageBreakBefore w:val="0"/>
              <w:spacing w:line="500" w:lineRule="exact"/>
              <w:widowControl/>
              <w:rPr>
                <w:rStyle w:val="917"/>
                <w:rFonts w:hint="eastAsia" w:asciiTheme="minorEastAsia" w:hAnsiTheme="minorEastAsia" w:eastAsiaTheme="minorEastAsia" w:cstheme="minorEastAsia"/>
                <w:sz w:val="24"/>
                <w:szCs w:val="24"/>
                <w:lang w:val="en-US" w:eastAsia="zh-CN" w:bidi="ar"/>
              </w:rPr>
              <w:suppressLineNumbers w:val="0"/>
            </w:pPr>
            <w:r>
              <w:rPr>
                <w:rStyle w:val="917"/>
                <w:rFonts w:hint="eastAsia" w:asciiTheme="minorEastAsia" w:hAnsiTheme="minorEastAsia" w:eastAsiaTheme="minorEastAsia" w:cstheme="minorEastAsia"/>
                <w:sz w:val="24"/>
                <w:szCs w:val="24"/>
                <w:lang w:val="en-US" w:eastAsia="zh-CN" w:bidi="ar"/>
              </w:rPr>
              <w:t xml:space="preserve">方案包含上述全部内容，实施流程清晰，安装及进度计划内容详细，措施完善，预案可操作性强，能够很好满足本项目需求的</w:t>
            </w:r>
            <w:r>
              <w:rPr>
                <w:rStyle w:val="917"/>
                <w:rFonts w:hint="eastAsia" w:asciiTheme="minorEastAsia" w:hAnsiTheme="minorEastAsia" w:eastAsiaTheme="minorEastAsia" w:cstheme="minorEastAsia"/>
                <w:b/>
                <w:bCs/>
                <w:sz w:val="24"/>
                <w:szCs w:val="24"/>
                <w:lang w:val="en-US" w:eastAsia="zh-CN" w:bidi="ar"/>
              </w:rPr>
              <w:t xml:space="preserve">得8分</w:t>
            </w:r>
            <w:r>
              <w:rPr>
                <w:rStyle w:val="917"/>
                <w:rFonts w:hint="eastAsia" w:asciiTheme="minorEastAsia" w:hAnsiTheme="minorEastAsia" w:eastAsiaTheme="minorEastAsia" w:cstheme="minorEastAsia"/>
                <w:sz w:val="24"/>
                <w:szCs w:val="24"/>
                <w:lang w:val="en-US" w:eastAsia="zh-CN" w:bidi="ar"/>
              </w:rPr>
              <w:t xml:space="preserve">；</w:t>
            </w:r>
            <w:r/>
          </w:p>
          <w:p>
            <w:pPr>
              <w:numPr>
                <w:ilvl w:val="0"/>
                <w:numId w:val="0"/>
              </w:numPr>
              <w:jc w:val="left"/>
              <w:keepLines w:val="0"/>
              <w:keepNext/>
              <w:pageBreakBefore w:val="0"/>
              <w:spacing w:line="500" w:lineRule="exact"/>
              <w:widowControl/>
              <w:rPr>
                <w:rStyle w:val="917"/>
                <w:rFonts w:hint="eastAsia" w:asciiTheme="minorEastAsia" w:hAnsiTheme="minorEastAsia" w:eastAsiaTheme="minorEastAsia" w:cstheme="minorEastAsia"/>
                <w:sz w:val="24"/>
                <w:szCs w:val="24"/>
                <w:lang w:val="en-US" w:eastAsia="zh-CN" w:bidi="ar"/>
              </w:rPr>
              <w:suppressLineNumbers w:val="0"/>
            </w:pPr>
            <w:r>
              <w:rPr>
                <w:rStyle w:val="917"/>
                <w:rFonts w:hint="eastAsia" w:asciiTheme="minorEastAsia" w:hAnsiTheme="minorEastAsia" w:eastAsiaTheme="minorEastAsia" w:cstheme="minorEastAsia"/>
                <w:sz w:val="24"/>
                <w:szCs w:val="24"/>
                <w:lang w:val="en-US" w:eastAsia="zh-CN" w:bidi="ar"/>
              </w:rPr>
              <w:t xml:space="preserve">方案包含上述全部内容，流程较清晰，安装及进度计划内容较详细，有对应措施，预案可操作性较强，较能够满足本项目需求的</w:t>
            </w:r>
            <w:r>
              <w:rPr>
                <w:rStyle w:val="917"/>
                <w:rFonts w:hint="eastAsia" w:asciiTheme="minorEastAsia" w:hAnsiTheme="minorEastAsia" w:eastAsiaTheme="minorEastAsia" w:cstheme="minorEastAsia"/>
                <w:b/>
                <w:bCs/>
                <w:sz w:val="24"/>
                <w:szCs w:val="24"/>
                <w:lang w:val="en-US" w:eastAsia="zh-CN" w:bidi="ar"/>
              </w:rPr>
              <w:t xml:space="preserve">得6分</w:t>
            </w:r>
            <w:r>
              <w:rPr>
                <w:rStyle w:val="917"/>
                <w:rFonts w:hint="eastAsia" w:asciiTheme="minorEastAsia" w:hAnsiTheme="minorEastAsia" w:eastAsiaTheme="minorEastAsia" w:cstheme="minorEastAsia"/>
                <w:sz w:val="24"/>
                <w:szCs w:val="24"/>
                <w:lang w:val="en-US" w:eastAsia="zh-CN" w:bidi="ar"/>
              </w:rPr>
              <w:t xml:space="preserve">；</w:t>
            </w:r>
            <w:r/>
          </w:p>
          <w:p>
            <w:pPr>
              <w:numPr>
                <w:ilvl w:val="0"/>
                <w:numId w:val="0"/>
              </w:numPr>
              <w:jc w:val="left"/>
              <w:keepLines w:val="0"/>
              <w:keepNext/>
              <w:pageBreakBefore w:val="0"/>
              <w:spacing w:line="500" w:lineRule="exact"/>
              <w:widowControl/>
              <w:rPr>
                <w:rStyle w:val="917"/>
                <w:rFonts w:hint="eastAsia" w:asciiTheme="minorEastAsia" w:hAnsiTheme="minorEastAsia" w:eastAsiaTheme="minorEastAsia" w:cstheme="minorEastAsia"/>
                <w:sz w:val="24"/>
                <w:szCs w:val="24"/>
                <w:lang w:val="en-US" w:eastAsia="zh-CN" w:bidi="ar"/>
              </w:rPr>
              <w:suppressLineNumbers w:val="0"/>
            </w:pPr>
            <w:r>
              <w:rPr>
                <w:rStyle w:val="917"/>
                <w:rFonts w:hint="eastAsia" w:asciiTheme="minorEastAsia" w:hAnsiTheme="minorEastAsia" w:eastAsiaTheme="minorEastAsia" w:cstheme="minorEastAsia"/>
                <w:sz w:val="24"/>
                <w:szCs w:val="24"/>
                <w:lang w:val="en-US" w:eastAsia="zh-CN" w:bidi="ar"/>
              </w:rPr>
              <w:t xml:space="preserve">方案内容有缺项，内容合理性一般，措施简单粗糙，可操作性不强，基本能够满足本项目需求的</w:t>
            </w:r>
            <w:r>
              <w:rPr>
                <w:rStyle w:val="917"/>
                <w:rFonts w:hint="eastAsia" w:asciiTheme="minorEastAsia" w:hAnsiTheme="minorEastAsia" w:eastAsiaTheme="minorEastAsia" w:cstheme="minorEastAsia"/>
                <w:b/>
                <w:bCs/>
                <w:sz w:val="24"/>
                <w:szCs w:val="24"/>
                <w:lang w:val="en-US" w:eastAsia="zh-CN" w:bidi="ar"/>
              </w:rPr>
              <w:t xml:space="preserve">得4分</w:t>
            </w:r>
            <w:r>
              <w:rPr>
                <w:rStyle w:val="917"/>
                <w:rFonts w:hint="eastAsia" w:asciiTheme="minorEastAsia" w:hAnsiTheme="minorEastAsia" w:eastAsiaTheme="minorEastAsia" w:cstheme="minorEastAsia"/>
                <w:sz w:val="24"/>
                <w:szCs w:val="24"/>
                <w:lang w:val="en-US" w:eastAsia="zh-CN" w:bidi="ar"/>
              </w:rPr>
              <w:t xml:space="preserve">；</w:t>
            </w:r>
            <w:r/>
          </w:p>
          <w:p>
            <w:pPr>
              <w:numPr>
                <w:ilvl w:val="0"/>
                <w:numId w:val="0"/>
              </w:numPr>
              <w:jc w:val="left"/>
              <w:keepLines w:val="0"/>
              <w:keepNext/>
              <w:pageBreakBefore w:val="0"/>
              <w:spacing w:line="500" w:lineRule="exact"/>
              <w:widowControl/>
              <w:rPr>
                <w:rStyle w:val="917"/>
                <w:rFonts w:hint="eastAsia" w:asciiTheme="minorEastAsia" w:hAnsiTheme="minorEastAsia" w:eastAsiaTheme="minorEastAsia" w:cstheme="minorEastAsia"/>
                <w:sz w:val="24"/>
                <w:szCs w:val="24"/>
                <w:lang w:val="en-US" w:eastAsia="zh-CN" w:bidi="ar"/>
              </w:rPr>
              <w:suppressLineNumbers w:val="0"/>
            </w:pPr>
            <w:r>
              <w:rPr>
                <w:rStyle w:val="917"/>
                <w:rFonts w:hint="eastAsia" w:asciiTheme="minorEastAsia" w:hAnsiTheme="minorEastAsia" w:eastAsiaTheme="minorEastAsia" w:cstheme="minorEastAsia"/>
                <w:sz w:val="24"/>
                <w:szCs w:val="24"/>
                <w:lang w:val="en-US" w:eastAsia="zh-CN" w:bidi="ar"/>
              </w:rPr>
              <w:t xml:space="preserve">方案内容有缺项，内容缺乏合理性，无可操作性，不能够满足本项目需求的</w:t>
            </w:r>
            <w:r>
              <w:rPr>
                <w:rStyle w:val="917"/>
                <w:rFonts w:hint="eastAsia" w:asciiTheme="minorEastAsia" w:hAnsiTheme="minorEastAsia" w:eastAsiaTheme="minorEastAsia" w:cstheme="minorEastAsia"/>
                <w:b/>
                <w:bCs/>
                <w:sz w:val="24"/>
                <w:szCs w:val="24"/>
                <w:lang w:val="en-US" w:eastAsia="zh-CN" w:bidi="ar"/>
              </w:rPr>
              <w:t xml:space="preserve">得2分</w:t>
            </w:r>
            <w:r>
              <w:rPr>
                <w:rStyle w:val="917"/>
                <w:rFonts w:hint="eastAsia" w:asciiTheme="minorEastAsia" w:hAnsiTheme="minorEastAsia" w:eastAsiaTheme="minorEastAsia" w:cstheme="minorEastAsia"/>
                <w:sz w:val="24"/>
                <w:szCs w:val="24"/>
                <w:lang w:val="en-US" w:eastAsia="zh-CN" w:bidi="ar"/>
              </w:rPr>
              <w:t xml:space="preserve">；</w:t>
            </w:r>
            <w:r/>
          </w:p>
          <w:p>
            <w:pPr>
              <w:numPr>
                <w:ilvl w:val="0"/>
                <w:numId w:val="0"/>
              </w:numPr>
              <w:jc w:val="left"/>
              <w:keepLines w:val="0"/>
              <w:keepNext/>
              <w:pageBreakBefore w:val="0"/>
              <w:spacing w:line="5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Style w:val="917"/>
                <w:rFonts w:hint="eastAsia" w:asciiTheme="minorEastAsia" w:hAnsiTheme="minorEastAsia" w:eastAsiaTheme="minorEastAsia" w:cstheme="minorEastAsia"/>
                <w:sz w:val="24"/>
                <w:szCs w:val="24"/>
                <w:lang w:val="en-US" w:eastAsia="zh-CN" w:bidi="ar"/>
              </w:rPr>
              <w:t xml:space="preserve">该项未见阐述不得分。</w:t>
            </w:r>
            <w:r/>
          </w:p>
        </w:tc>
      </w:tr>
      <w:tr>
        <w:trPr>
          <w:jc w:val="center"/>
          <w:trHeight w:val="312"/>
        </w:trPr>
        <w:tc>
          <w:tcPr>
            <w:shd w:val="clear" w:color="auto" w:fill="auto"/>
            <w:tcW w:w="1242" w:type="dxa"/>
            <w:vAlign w:val="center"/>
            <w:textDirection w:val="lrTb"/>
            <w:noWrap w:val="false"/>
          </w:tcPr>
          <w:p>
            <w:pPr>
              <w:jc w:val="center"/>
              <w:keepLines w:val="0"/>
              <w:keepNext/>
              <w:pageBreakBefore w:val="0"/>
              <w:spacing w:line="5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售后服务方案（7分）</w:t>
            </w:r>
            <w:r/>
          </w:p>
        </w:tc>
        <w:tc>
          <w:tcPr>
            <w:shd w:val="clear" w:color="auto" w:fill="auto"/>
            <w:tcW w:w="7953" w:type="dxa"/>
            <w:vAlign w:val="center"/>
            <w:textDirection w:val="lrTb"/>
            <w:noWrap w:val="false"/>
          </w:tcPr>
          <w:p>
            <w:pPr>
              <w:numPr>
                <w:ilvl w:val="0"/>
                <w:numId w:val="0"/>
              </w:numPr>
              <w:jc w:val="left"/>
              <w:keepLines w:val="0"/>
              <w:keepNext/>
              <w:pageBreakBefore w:val="0"/>
              <w:spacing w:line="500" w:lineRule="exact"/>
              <w:widowControl/>
              <w:rPr>
                <w:rStyle w:val="917"/>
                <w:rFonts w:hint="eastAsia" w:asciiTheme="minorEastAsia" w:hAnsiTheme="minorEastAsia" w:eastAsiaTheme="minorEastAsia" w:cstheme="minorEastAsia"/>
                <w:sz w:val="24"/>
                <w:szCs w:val="24"/>
                <w:lang w:val="en-US" w:eastAsia="zh-CN" w:bidi="ar"/>
              </w:rPr>
              <w:suppressLineNumbers w:val="0"/>
            </w:pPr>
            <w:r>
              <w:rPr>
                <w:rFonts w:hint="eastAsia" w:asciiTheme="minorEastAsia" w:hAnsiTheme="minorEastAsia" w:eastAsiaTheme="minorEastAsia" w:cstheme="minorEastAsia"/>
                <w:sz w:val="24"/>
                <w:szCs w:val="24"/>
              </w:rPr>
              <w:t xml:space="preserve">投</w:t>
            </w:r>
            <w:r>
              <w:rPr>
                <w:rStyle w:val="917"/>
                <w:rFonts w:hint="eastAsia" w:asciiTheme="minorEastAsia" w:hAnsiTheme="minorEastAsia" w:eastAsiaTheme="minorEastAsia" w:cstheme="minorEastAsia"/>
                <w:sz w:val="24"/>
                <w:szCs w:val="24"/>
                <w:lang w:val="en-US" w:eastAsia="zh-CN" w:bidi="ar"/>
              </w:rPr>
              <w:t xml:space="preserve">标人根据项目需求提供售后服务方案，内容包括但不限于售后服务内容、故障解决方案、</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服务保障体系</w:t>
            </w:r>
            <w:r>
              <w:rPr>
                <w:rStyle w:val="917"/>
                <w:rFonts w:hint="eastAsia" w:asciiTheme="minorEastAsia" w:hAnsiTheme="minorEastAsia" w:eastAsiaTheme="minorEastAsia" w:cstheme="minorEastAsia"/>
                <w:sz w:val="24"/>
                <w:szCs w:val="24"/>
                <w:lang w:val="en-US" w:eastAsia="zh-CN" w:bidi="ar"/>
              </w:rPr>
              <w:t xml:space="preserve">等。</w:t>
            </w:r>
            <w:r/>
          </w:p>
          <w:p>
            <w:pPr>
              <w:numPr>
                <w:ilvl w:val="0"/>
                <w:numId w:val="0"/>
              </w:numPr>
              <w:jc w:val="left"/>
              <w:keepLines w:val="0"/>
              <w:keepNext/>
              <w:pageBreakBefore w:val="0"/>
              <w:spacing w:line="500" w:lineRule="exact"/>
              <w:widowControl/>
              <w:rPr>
                <w:rStyle w:val="917"/>
                <w:rFonts w:hint="eastAsia" w:asciiTheme="minorEastAsia" w:hAnsiTheme="minorEastAsia" w:eastAsiaTheme="minorEastAsia" w:cstheme="minorEastAsia"/>
                <w:sz w:val="24"/>
                <w:szCs w:val="24"/>
                <w:lang w:val="en-US" w:eastAsia="zh-CN" w:bidi="ar"/>
              </w:rPr>
              <w:suppressLineNumbers w:val="0"/>
            </w:pPr>
            <w:r>
              <w:rPr>
                <w:rStyle w:val="917"/>
                <w:rFonts w:hint="eastAsia" w:asciiTheme="minorEastAsia" w:hAnsiTheme="minorEastAsia" w:eastAsiaTheme="minorEastAsia" w:cstheme="minorEastAsia"/>
                <w:sz w:val="24"/>
                <w:szCs w:val="24"/>
                <w:lang w:val="en-US" w:eastAsia="zh-CN" w:bidi="ar"/>
              </w:rPr>
              <w:t xml:space="preserve">方案内容详细、详实，需求贴合度高且条理清晰的</w:t>
            </w:r>
            <w:r>
              <w:rPr>
                <w:rStyle w:val="917"/>
                <w:rFonts w:hint="eastAsia" w:asciiTheme="minorEastAsia" w:hAnsiTheme="minorEastAsia" w:eastAsiaTheme="minorEastAsia" w:cstheme="minorEastAsia"/>
                <w:b/>
                <w:bCs/>
                <w:sz w:val="24"/>
                <w:szCs w:val="24"/>
                <w:lang w:val="en-US" w:eastAsia="zh-CN" w:bidi="ar"/>
              </w:rPr>
              <w:t xml:space="preserve">得7分</w:t>
            </w:r>
            <w:r>
              <w:rPr>
                <w:rStyle w:val="917"/>
                <w:rFonts w:hint="eastAsia" w:asciiTheme="minorEastAsia" w:hAnsiTheme="minorEastAsia" w:eastAsiaTheme="minorEastAsia" w:cstheme="minorEastAsia"/>
                <w:sz w:val="24"/>
                <w:szCs w:val="24"/>
                <w:lang w:val="en-US" w:eastAsia="zh-CN" w:bidi="ar"/>
              </w:rPr>
              <w:t xml:space="preserve">；</w:t>
            </w:r>
            <w:r/>
          </w:p>
          <w:p>
            <w:pPr>
              <w:numPr>
                <w:ilvl w:val="0"/>
                <w:numId w:val="0"/>
              </w:numPr>
              <w:jc w:val="left"/>
              <w:keepLines w:val="0"/>
              <w:keepNext/>
              <w:pageBreakBefore w:val="0"/>
              <w:spacing w:line="500" w:lineRule="exact"/>
              <w:widowControl/>
              <w:rPr>
                <w:rStyle w:val="917"/>
                <w:rFonts w:hint="eastAsia" w:asciiTheme="minorEastAsia" w:hAnsiTheme="minorEastAsia" w:eastAsiaTheme="minorEastAsia" w:cstheme="minorEastAsia"/>
                <w:sz w:val="24"/>
                <w:szCs w:val="24"/>
                <w:lang w:val="en-US" w:eastAsia="zh-CN" w:bidi="ar"/>
              </w:rPr>
              <w:suppressLineNumbers w:val="0"/>
            </w:pPr>
            <w:r>
              <w:rPr>
                <w:rStyle w:val="917"/>
                <w:rFonts w:hint="eastAsia" w:asciiTheme="minorEastAsia" w:hAnsiTheme="minorEastAsia" w:eastAsiaTheme="minorEastAsia" w:cstheme="minorEastAsia"/>
                <w:sz w:val="24"/>
                <w:szCs w:val="24"/>
                <w:lang w:val="en-US" w:eastAsia="zh-CN" w:bidi="ar"/>
              </w:rPr>
              <w:t xml:space="preserve">方案内容较为详细、详实，需求贴合度较高且条理较清晰</w:t>
            </w:r>
            <w:r>
              <w:rPr>
                <w:rStyle w:val="917"/>
                <w:rFonts w:hint="eastAsia" w:asciiTheme="minorEastAsia" w:hAnsiTheme="minorEastAsia" w:eastAsiaTheme="minorEastAsia" w:cstheme="minorEastAsia"/>
                <w:b/>
                <w:bCs/>
                <w:sz w:val="24"/>
                <w:szCs w:val="24"/>
                <w:lang w:val="en-US" w:eastAsia="zh-CN" w:bidi="ar"/>
              </w:rPr>
              <w:t xml:space="preserve">得5分</w:t>
            </w:r>
            <w:r>
              <w:rPr>
                <w:rStyle w:val="917"/>
                <w:rFonts w:hint="eastAsia" w:asciiTheme="minorEastAsia" w:hAnsiTheme="minorEastAsia" w:eastAsiaTheme="minorEastAsia" w:cstheme="minorEastAsia"/>
                <w:sz w:val="24"/>
                <w:szCs w:val="24"/>
                <w:lang w:val="en-US" w:eastAsia="zh-CN" w:bidi="ar"/>
              </w:rPr>
              <w:t xml:space="preserve">；</w:t>
            </w:r>
            <w:r/>
          </w:p>
          <w:p>
            <w:pPr>
              <w:numPr>
                <w:ilvl w:val="0"/>
                <w:numId w:val="0"/>
              </w:numPr>
              <w:jc w:val="left"/>
              <w:keepLines w:val="0"/>
              <w:keepNext/>
              <w:pageBreakBefore w:val="0"/>
              <w:spacing w:line="500" w:lineRule="exact"/>
              <w:widowControl/>
              <w:rPr>
                <w:rStyle w:val="917"/>
                <w:rFonts w:hint="eastAsia" w:asciiTheme="minorEastAsia" w:hAnsiTheme="minorEastAsia" w:eastAsiaTheme="minorEastAsia" w:cstheme="minorEastAsia"/>
                <w:sz w:val="24"/>
                <w:szCs w:val="24"/>
                <w:lang w:val="en-US" w:eastAsia="zh-CN" w:bidi="ar"/>
              </w:rPr>
              <w:suppressLineNumbers w:val="0"/>
            </w:pPr>
            <w:r>
              <w:rPr>
                <w:rStyle w:val="917"/>
                <w:rFonts w:hint="eastAsia" w:asciiTheme="minorEastAsia" w:hAnsiTheme="minorEastAsia" w:eastAsiaTheme="minorEastAsia" w:cstheme="minorEastAsia"/>
                <w:sz w:val="24"/>
                <w:szCs w:val="24"/>
                <w:lang w:val="en-US" w:eastAsia="zh-CN" w:bidi="ar"/>
              </w:rPr>
              <w:t xml:space="preserve">方案内容一般、无针对性，基本满足采购需求的</w:t>
            </w:r>
            <w:r>
              <w:rPr>
                <w:rStyle w:val="917"/>
                <w:rFonts w:hint="eastAsia" w:asciiTheme="minorEastAsia" w:hAnsiTheme="minorEastAsia" w:eastAsiaTheme="minorEastAsia" w:cstheme="minorEastAsia"/>
                <w:b/>
                <w:bCs/>
                <w:sz w:val="24"/>
                <w:szCs w:val="24"/>
                <w:lang w:val="en-US" w:eastAsia="zh-CN" w:bidi="ar"/>
              </w:rPr>
              <w:t xml:space="preserve">得3分</w:t>
            </w:r>
            <w:r>
              <w:rPr>
                <w:rStyle w:val="917"/>
                <w:rFonts w:hint="eastAsia" w:asciiTheme="minorEastAsia" w:hAnsiTheme="minorEastAsia" w:eastAsiaTheme="minorEastAsia" w:cstheme="minorEastAsia"/>
                <w:sz w:val="24"/>
                <w:szCs w:val="24"/>
                <w:lang w:val="en-US" w:eastAsia="zh-CN" w:bidi="ar"/>
              </w:rPr>
              <w:t xml:space="preserve">；</w:t>
            </w:r>
            <w:r/>
          </w:p>
          <w:p>
            <w:pPr>
              <w:numPr>
                <w:ilvl w:val="0"/>
                <w:numId w:val="0"/>
              </w:numPr>
              <w:jc w:val="left"/>
              <w:keepLines w:val="0"/>
              <w:keepNext/>
              <w:pageBreakBefore w:val="0"/>
              <w:spacing w:line="5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Style w:val="917"/>
                <w:rFonts w:hint="eastAsia" w:asciiTheme="minorEastAsia" w:hAnsiTheme="minorEastAsia" w:eastAsiaTheme="minorEastAsia" w:cstheme="minorEastAsia"/>
                <w:sz w:val="24"/>
                <w:szCs w:val="24"/>
                <w:lang w:val="en-US" w:eastAsia="zh-CN" w:bidi="ar"/>
              </w:rPr>
              <w:t xml:space="preserve">该项未见阐述不得分。</w:t>
            </w:r>
            <w:r/>
          </w:p>
        </w:tc>
      </w:tr>
      <w:tr>
        <w:trPr>
          <w:jc w:val="center"/>
          <w:trHeight w:val="0"/>
        </w:trPr>
        <w:tc>
          <w:tcPr>
            <w:shd w:val="clear" w:color="auto" w:fill="auto"/>
            <w:tcW w:w="1242" w:type="dxa"/>
            <w:vAlign w:val="center"/>
            <w:textDirection w:val="lrTb"/>
            <w:noWrap w:val="false"/>
          </w:tcPr>
          <w:p>
            <w:pPr>
              <w:jc w:val="center"/>
              <w:keepLines w:val="0"/>
              <w:keepNext/>
              <w:pageBreakBefore w:val="0"/>
              <w:spacing w:line="500" w:lineRule="exact"/>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t xml:space="preserve">培训方案（6分）</w:t>
            </w:r>
            <w:r/>
          </w:p>
        </w:tc>
        <w:tc>
          <w:tcPr>
            <w:shd w:val="clear" w:color="auto" w:fill="auto"/>
            <w:tcW w:w="7953" w:type="dxa"/>
            <w:vAlign w:val="center"/>
            <w:textDirection w:val="lrTb"/>
            <w:noWrap w:val="false"/>
          </w:tcPr>
          <w:p>
            <w:pPr>
              <w:numPr>
                <w:ilvl w:val="0"/>
                <w:numId w:val="0"/>
              </w:numPr>
              <w:jc w:val="left"/>
              <w:keepLines w:val="0"/>
              <w:keepNext/>
              <w:pageBreakBefore w:val="0"/>
              <w:spacing w:line="500" w:lineRule="exact"/>
              <w:widowControl/>
              <w:rPr>
                <w:rStyle w:val="917"/>
                <w:rFonts w:hint="eastAsia" w:asciiTheme="minorEastAsia" w:hAnsiTheme="minorEastAsia" w:eastAsiaTheme="minorEastAsia" w:cstheme="minorEastAsia"/>
                <w:sz w:val="24"/>
                <w:szCs w:val="24"/>
                <w:lang w:val="en-US" w:eastAsia="zh-CN" w:bidi="ar"/>
              </w:rPr>
              <w:suppressLineNumbers w:val="0"/>
            </w:pPr>
            <w:r>
              <w:rPr>
                <w:rStyle w:val="917"/>
                <w:rFonts w:hint="eastAsia" w:asciiTheme="minorEastAsia" w:hAnsiTheme="minorEastAsia" w:eastAsiaTheme="minorEastAsia" w:cstheme="minorEastAsia"/>
                <w:sz w:val="24"/>
                <w:szCs w:val="24"/>
                <w:lang w:val="en-US" w:eastAsia="zh-CN" w:bidi="ar"/>
              </w:rPr>
              <w:t xml:space="preserve">投标人根据项目需求提供培训方案，内容包括但不限于培训计划、培训内容、培训对象等。</w:t>
            </w:r>
            <w:r/>
          </w:p>
          <w:p>
            <w:pPr>
              <w:numPr>
                <w:ilvl w:val="0"/>
                <w:numId w:val="0"/>
              </w:numPr>
              <w:jc w:val="left"/>
              <w:keepLines w:val="0"/>
              <w:keepNext/>
              <w:pageBreakBefore w:val="0"/>
              <w:spacing w:line="500" w:lineRule="exact"/>
              <w:widowControl/>
              <w:rPr>
                <w:rStyle w:val="917"/>
                <w:rFonts w:hint="eastAsia" w:asciiTheme="minorEastAsia" w:hAnsiTheme="minorEastAsia" w:eastAsiaTheme="minorEastAsia" w:cstheme="minorEastAsia"/>
                <w:sz w:val="24"/>
                <w:szCs w:val="24"/>
                <w:lang w:val="en-US" w:eastAsia="zh-CN" w:bidi="ar"/>
              </w:rPr>
              <w:suppressLineNumbers w:val="0"/>
            </w:pPr>
            <w:r>
              <w:rPr>
                <w:rStyle w:val="917"/>
                <w:rFonts w:hint="eastAsia" w:asciiTheme="minorEastAsia" w:hAnsiTheme="minorEastAsia" w:eastAsiaTheme="minorEastAsia" w:cstheme="minorEastAsia"/>
                <w:sz w:val="24"/>
                <w:szCs w:val="24"/>
                <w:lang w:val="en-US" w:eastAsia="zh-CN" w:bidi="ar"/>
              </w:rPr>
              <w:t xml:space="preserve">方案内容丰富，科学合理，培训形式多样，具有可操作性的</w:t>
            </w:r>
            <w:r>
              <w:rPr>
                <w:rStyle w:val="917"/>
                <w:rFonts w:hint="eastAsia" w:asciiTheme="minorEastAsia" w:hAnsiTheme="minorEastAsia" w:eastAsiaTheme="minorEastAsia" w:cstheme="minorEastAsia"/>
                <w:b/>
                <w:bCs/>
                <w:sz w:val="24"/>
                <w:szCs w:val="24"/>
                <w:lang w:val="en-US" w:eastAsia="zh-CN" w:bidi="ar"/>
              </w:rPr>
              <w:t xml:space="preserve">得6分</w:t>
            </w:r>
            <w:r>
              <w:rPr>
                <w:rStyle w:val="917"/>
                <w:rFonts w:hint="eastAsia" w:asciiTheme="minorEastAsia" w:hAnsiTheme="minorEastAsia" w:eastAsiaTheme="minorEastAsia" w:cstheme="minorEastAsia"/>
                <w:sz w:val="24"/>
                <w:szCs w:val="24"/>
                <w:lang w:val="en-US" w:eastAsia="zh-CN" w:bidi="ar"/>
              </w:rPr>
              <w:t xml:space="preserve">；</w:t>
            </w:r>
            <w:r/>
          </w:p>
          <w:p>
            <w:pPr>
              <w:numPr>
                <w:ilvl w:val="0"/>
                <w:numId w:val="0"/>
              </w:numPr>
              <w:jc w:val="left"/>
              <w:keepLines w:val="0"/>
              <w:keepNext/>
              <w:pageBreakBefore w:val="0"/>
              <w:spacing w:line="500" w:lineRule="exact"/>
              <w:widowControl/>
              <w:rPr>
                <w:rStyle w:val="917"/>
                <w:rFonts w:hint="eastAsia" w:asciiTheme="minorEastAsia" w:hAnsiTheme="minorEastAsia" w:eastAsiaTheme="minorEastAsia" w:cstheme="minorEastAsia"/>
                <w:sz w:val="24"/>
                <w:szCs w:val="24"/>
                <w:lang w:val="en-US" w:eastAsia="zh-CN" w:bidi="ar"/>
              </w:rPr>
              <w:suppressLineNumbers w:val="0"/>
            </w:pPr>
            <w:r>
              <w:rPr>
                <w:rStyle w:val="917"/>
                <w:rFonts w:hint="eastAsia" w:asciiTheme="minorEastAsia" w:hAnsiTheme="minorEastAsia" w:eastAsiaTheme="minorEastAsia" w:cstheme="minorEastAsia"/>
                <w:sz w:val="24"/>
                <w:szCs w:val="24"/>
                <w:lang w:val="en-US" w:eastAsia="zh-CN" w:bidi="ar"/>
              </w:rPr>
              <w:t xml:space="preserve">方案内容较丰富，较合理，培训形式较多样，可操作性较强的</w:t>
            </w:r>
            <w:r>
              <w:rPr>
                <w:rStyle w:val="917"/>
                <w:rFonts w:hint="eastAsia" w:asciiTheme="minorEastAsia" w:hAnsiTheme="minorEastAsia" w:eastAsiaTheme="minorEastAsia" w:cstheme="minorEastAsia"/>
                <w:b/>
                <w:bCs/>
                <w:sz w:val="24"/>
                <w:szCs w:val="24"/>
                <w:lang w:val="en-US" w:eastAsia="zh-CN" w:bidi="ar"/>
              </w:rPr>
              <w:t xml:space="preserve">得4分</w:t>
            </w:r>
            <w:r>
              <w:rPr>
                <w:rStyle w:val="917"/>
                <w:rFonts w:hint="eastAsia" w:asciiTheme="minorEastAsia" w:hAnsiTheme="minorEastAsia" w:eastAsiaTheme="minorEastAsia" w:cstheme="minorEastAsia"/>
                <w:sz w:val="24"/>
                <w:szCs w:val="24"/>
                <w:lang w:val="en-US" w:eastAsia="zh-CN" w:bidi="ar"/>
              </w:rPr>
              <w:t xml:space="preserve">；</w:t>
            </w:r>
            <w:r/>
          </w:p>
          <w:p>
            <w:pPr>
              <w:numPr>
                <w:ilvl w:val="0"/>
                <w:numId w:val="0"/>
              </w:numPr>
              <w:jc w:val="left"/>
              <w:keepLines w:val="0"/>
              <w:keepNext/>
              <w:pageBreakBefore w:val="0"/>
              <w:spacing w:line="500" w:lineRule="exact"/>
              <w:widowControl/>
              <w:rPr>
                <w:rStyle w:val="917"/>
                <w:rFonts w:hint="eastAsia" w:asciiTheme="minorEastAsia" w:hAnsiTheme="minorEastAsia" w:eastAsiaTheme="minorEastAsia" w:cstheme="minorEastAsia"/>
                <w:sz w:val="24"/>
                <w:szCs w:val="24"/>
                <w:lang w:val="en-US" w:eastAsia="zh-CN" w:bidi="ar"/>
              </w:rPr>
              <w:suppressLineNumbers w:val="0"/>
            </w:pPr>
            <w:r>
              <w:rPr>
                <w:rStyle w:val="917"/>
                <w:rFonts w:hint="eastAsia" w:asciiTheme="minorEastAsia" w:hAnsiTheme="minorEastAsia" w:eastAsiaTheme="minorEastAsia" w:cstheme="minorEastAsia"/>
                <w:sz w:val="24"/>
                <w:szCs w:val="24"/>
                <w:lang w:val="en-US" w:eastAsia="zh-CN" w:bidi="ar"/>
              </w:rPr>
              <w:t xml:space="preserve">方案内容简单，合理性一般，形式单一，可操作性一般的</w:t>
            </w:r>
            <w:r>
              <w:rPr>
                <w:rStyle w:val="917"/>
                <w:rFonts w:hint="eastAsia" w:asciiTheme="minorEastAsia" w:hAnsiTheme="minorEastAsia" w:eastAsiaTheme="minorEastAsia" w:cstheme="minorEastAsia"/>
                <w:b/>
                <w:bCs/>
                <w:sz w:val="24"/>
                <w:szCs w:val="24"/>
                <w:lang w:val="en-US" w:eastAsia="zh-CN" w:bidi="ar"/>
              </w:rPr>
              <w:t xml:space="preserve">得2分</w:t>
            </w:r>
            <w:r>
              <w:rPr>
                <w:rStyle w:val="917"/>
                <w:rFonts w:hint="eastAsia" w:asciiTheme="minorEastAsia" w:hAnsiTheme="minorEastAsia" w:eastAsiaTheme="minorEastAsia" w:cstheme="minorEastAsia"/>
                <w:sz w:val="24"/>
                <w:szCs w:val="24"/>
                <w:lang w:val="en-US" w:eastAsia="zh-CN" w:bidi="ar"/>
              </w:rPr>
              <w:t xml:space="preserve">；</w:t>
            </w:r>
            <w:r/>
          </w:p>
          <w:p>
            <w:pPr>
              <w:numPr>
                <w:ilvl w:val="0"/>
                <w:numId w:val="0"/>
              </w:numPr>
              <w:jc w:val="left"/>
              <w:keepLines w:val="0"/>
              <w:keepNext/>
              <w:pageBreakBefore w:val="0"/>
              <w:spacing w:line="5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Style w:val="917"/>
                <w:rFonts w:hint="eastAsia" w:asciiTheme="minorEastAsia" w:hAnsiTheme="minorEastAsia" w:eastAsiaTheme="minorEastAsia" w:cstheme="minorEastAsia"/>
                <w:sz w:val="24"/>
                <w:szCs w:val="24"/>
                <w:lang w:val="en-US" w:eastAsia="zh-CN" w:bidi="ar"/>
              </w:rPr>
              <w:t xml:space="preserve">该项未见阐述不得分。</w:t>
            </w:r>
            <w:r/>
          </w:p>
        </w:tc>
      </w:tr>
    </w:tbl>
    <w:p>
      <w:pPr>
        <w:jc w:val="left"/>
        <w:spacing w:line="500" w:lineRule="exact"/>
        <w:rPr>
          <w:rFonts w:hint="default" w:eastAsia="宋体"/>
          <w:sz w:val="24"/>
          <w:szCs w:val="24"/>
          <w:lang w:val="en-US" w:eastAsia="zh-CN"/>
        </w:rPr>
      </w:pPr>
      <w:r>
        <w:rPr>
          <w:rFonts w:hint="eastAsia"/>
          <w:sz w:val="24"/>
          <w:szCs w:val="24"/>
          <w:lang w:val="en-US" w:eastAsia="zh-CN"/>
        </w:rPr>
        <w:t xml:space="preserve">（3）商务分（27分）</w:t>
      </w:r>
      <w:r/>
    </w:p>
    <w:tbl>
      <w:tblPr>
        <w:tblStyle w:val="702"/>
        <w:tblW w:w="9606" w:type="dxa"/>
        <w:tblInd w:w="-3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39"/>
        <w:gridCol w:w="8011"/>
      </w:tblGrid>
      <w:tr>
        <w:trPr>
          <w:trHeight w:val="400"/>
        </w:trPr>
        <w:tc>
          <w:tcPr>
            <w:shd w:val="clear" w:color="auto" w:fill="auto"/>
            <w:tcW w:w="12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bookmarkStart w:id="28" w:name="_GoBack"/>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评审因素</w:t>
            </w:r>
            <w:r/>
          </w:p>
        </w:tc>
        <w:tc>
          <w:tcPr>
            <w:shd w:val="clear" w:color="auto" w:fill="auto"/>
            <w:tcW w:w="8011"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themeColor="text1"/>
                <w:sz w:val="24"/>
                <w:szCs w:val="24"/>
                <w:highlight w:val="none"/>
                <w:u w:val="none"/>
                <w14:textFill>
                  <w14:solidFill>
                    <w14:schemeClr w14:val="tx1"/>
                  </w14:solidFill>
                </w14:textFill>
              </w:rPr>
              <w:suppressLineNumbers w:val="0"/>
            </w:pPr>
            <w:r>
              <w:rPr>
                <w:rFonts w:hint="eastAsia" w:asciiTheme="minorEastAsia" w:hAnsiTheme="minorEastAsia" w:eastAsiaTheme="minorEastAsia" w:cstheme="minorEastAsia"/>
                <w:b/>
                <w:bCs/>
                <w:i w:val="0"/>
                <w:iCs w:val="0"/>
                <w:color w:val="000000" w:themeColor="text1"/>
                <w:sz w:val="24"/>
                <w:szCs w:val="24"/>
                <w:highlight w:val="none"/>
                <w:u w:val="none"/>
                <w:lang w:val="en-US" w:eastAsia="zh-CN" w:bidi="ar"/>
                <w14:textFill>
                  <w14:solidFill>
                    <w14:schemeClr w14:val="tx1"/>
                  </w14:solidFill>
                </w14:textFill>
              </w:rPr>
              <w:t xml:space="preserve">评审标准</w:t>
            </w:r>
            <w:r/>
          </w:p>
        </w:tc>
      </w:tr>
      <w:tr>
        <w:trPr>
          <w:trHeight w:val="537"/>
        </w:trPr>
        <w:tc>
          <w:tcPr>
            <w:shd w:val="clear" w:color="auto" w:fill="auto"/>
            <w:tcW w:w="1239" w:type="dxa"/>
            <w:vAlign w:val="center"/>
            <w:textDirection w:val="lrTb"/>
            <w:noWrap w:val="false"/>
          </w:tcPr>
          <w:p>
            <w:pPr>
              <w:jc w:val="center"/>
              <w:keepLines w:val="0"/>
              <w:keepNext w:val="0"/>
              <w:pageBreakBefore w:val="0"/>
              <w:spacing w:line="500" w:lineRule="exact"/>
              <w:rPr>
                <w:rFonts w:hint="eastAsia" w:asciiTheme="minorEastAsia" w:hAnsiTheme="minorEastAsia" w:eastAsiaTheme="minorEastAsia" w:cstheme="minorEastAsia"/>
                <w:i w:val="0"/>
                <w:iCs w:val="0"/>
                <w:color w:val="000000" w:themeColor="text1"/>
                <w:sz w:val="24"/>
                <w:szCs w:val="24"/>
                <w:highlight w:val="none"/>
                <w:u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类似业绩（</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p>
        </w:tc>
        <w:tc>
          <w:tcPr>
            <w:shd w:val="clear" w:color="auto" w:fill="auto"/>
            <w:tcW w:w="8011" w:type="dxa"/>
            <w:vAlign w:val="center"/>
            <w:textDirection w:val="lrTb"/>
            <w:noWrap w:val="false"/>
          </w:tcPr>
          <w:p>
            <w:pPr>
              <w:numPr>
                <w:ilvl w:val="0"/>
                <w:numId w:val="0"/>
              </w:numPr>
              <w:jc w:val="left"/>
              <w:keepLines w:val="0"/>
              <w:keepNext w:val="0"/>
              <w:pageBreakBefore w:val="0"/>
              <w:spacing w:line="500" w:lineRule="exact"/>
              <w:widowControl/>
              <w:rPr>
                <w:rStyle w:val="917"/>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suppressLineNumbers w:val="0"/>
            </w:pPr>
            <w:r>
              <w:rPr>
                <w:rStyle w:val="917"/>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t xml:space="preserve">投标人自2022年1月（含）以来（以合同签订时间为准），具有类似项目业绩（至少包含实验桌），每提供一个</w:t>
            </w:r>
            <w:r>
              <w:rPr>
                <w:rStyle w:val="917"/>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得2分</w:t>
            </w:r>
            <w:r>
              <w:rPr>
                <w:rStyle w:val="917"/>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t xml:space="preserve">，</w:t>
            </w:r>
            <w:r>
              <w:rPr>
                <w:rStyle w:val="917"/>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最高得6分</w:t>
            </w:r>
            <w:r>
              <w:rPr>
                <w:rStyle w:val="917"/>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t xml:space="preserve">。</w:t>
            </w:r>
            <w:r/>
          </w:p>
          <w:p>
            <w:pPr>
              <w:numPr>
                <w:ilvl w:val="0"/>
                <w:numId w:val="0"/>
              </w:numPr>
              <w:jc w:val="left"/>
              <w:keepLines w:val="0"/>
              <w:keepNext w:val="0"/>
              <w:pageBreakBefore w:val="0"/>
              <w:spacing w:line="500" w:lineRule="exact"/>
              <w:widowControl/>
              <w:rPr>
                <w:rStyle w:val="917"/>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suppressLineNumbers w:val="0"/>
            </w:pPr>
            <w:r>
              <w:rPr>
                <w:rStyle w:val="917"/>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投标文件提供完整合同扫描件、复印件或电子件并加盖投标人公章，</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否则不得分</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时间、</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标的</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内容以合同为准</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如果合同标的名称与招标文件要求不完全一致的，由评标委员会统一认定</w:t>
            </w:r>
            <w:r>
              <w:rPr>
                <w:rStyle w:val="917"/>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w:t>
            </w:r>
            <w:r/>
          </w:p>
        </w:tc>
      </w:tr>
      <w:tr>
        <w:trPr>
          <w:trHeight w:val="900"/>
        </w:trPr>
        <w:tc>
          <w:tcPr>
            <w:shd w:val="clear" w:color="auto" w:fill="auto"/>
            <w:tcW w:w="1239" w:type="dxa"/>
            <w:vAlign w:val="center"/>
            <w:textDirection w:val="lrTb"/>
            <w:noWrap w:val="false"/>
          </w:tcPr>
          <w:p>
            <w:pPr>
              <w:jc w:val="center"/>
              <w:keepLines w:val="0"/>
              <w:keepNext w:val="0"/>
              <w:pageBreakBefore w:val="0"/>
              <w:spacing w:line="500" w:lineRule="exact"/>
              <w:rPr>
                <w:rFonts w:hint="eastAsia" w:asciiTheme="minorEastAsia" w:hAnsiTheme="minorEastAsia" w:eastAsiaTheme="minorEastAsia" w:cstheme="minorEastAsia"/>
                <w:i w:val="0"/>
                <w:iCs w:val="0"/>
                <w:color w:val="000000" w:themeColor="text1"/>
                <w:sz w:val="24"/>
                <w:szCs w:val="24"/>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lang w:val="en-US" w:eastAsia="zh-CN"/>
                <w14:textFill>
                  <w14:solidFill>
                    <w14:schemeClr w14:val="tx1"/>
                  </w14:solidFill>
                </w14:textFill>
              </w:rPr>
              <w:t xml:space="preserve">质保期（4分）</w:t>
            </w:r>
            <w:r/>
          </w:p>
        </w:tc>
        <w:tc>
          <w:tcPr>
            <w:shd w:val="clear" w:color="auto" w:fill="auto"/>
            <w:tcW w:w="8011" w:type="dxa"/>
            <w:vAlign w:val="center"/>
            <w:textDirection w:val="lrTb"/>
            <w:noWrap w:val="false"/>
          </w:tcPr>
          <w:p>
            <w:pPr>
              <w:numPr>
                <w:ilvl w:val="0"/>
                <w:numId w:val="0"/>
              </w:numPr>
              <w:jc w:val="left"/>
              <w:keepLines w:val="0"/>
              <w:keepNext w:val="0"/>
              <w:pageBreakBefore w:val="0"/>
              <w:spacing w:line="500" w:lineRule="exact"/>
              <w:widowControl/>
              <w:rPr>
                <w:rStyle w:val="917"/>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suppressLineNumbers w:val="0"/>
            </w:pPr>
            <w:r>
              <w:rPr>
                <w:rStyle w:val="917"/>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t xml:space="preserve">在招标文件要求质保期（3年）的基础上，每增加一年</w:t>
            </w:r>
            <w:r>
              <w:rPr>
                <w:rStyle w:val="917"/>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得2分，最高得4分。</w:t>
            </w:r>
            <w:r/>
          </w:p>
          <w:p>
            <w:pPr>
              <w:pStyle w:val="737"/>
              <w:ind w:left="0" w:firstLine="0"/>
              <w:keepLines w:val="0"/>
              <w:keepNext w:val="0"/>
              <w:pageBreakBefore w:val="0"/>
              <w:spacing w:line="500" w:lineRule="exact"/>
              <w:rPr>
                <w:rStyle w:val="917"/>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t xml:space="preserve">（投标文件中提供加盖投标人公章的承诺函，须明确质保年限，否则不得分）</w:t>
            </w:r>
            <w:r/>
          </w:p>
        </w:tc>
      </w:tr>
      <w:tr>
        <w:trPr>
          <w:trHeight w:val="604"/>
        </w:trPr>
        <w:tc>
          <w:tcPr>
            <w:shd w:val="clear" w:color="auto" w:fill="auto"/>
            <w:tcW w:w="1239" w:type="dxa"/>
            <w:vAlign w:val="center"/>
            <w:textDirection w:val="lrTb"/>
            <w:noWrap w:val="false"/>
          </w:tcPr>
          <w:p>
            <w:pPr>
              <w:jc w:val="center"/>
              <w:keepLines w:val="0"/>
              <w:keepNext w:val="0"/>
              <w:pageBreakBefore w:val="0"/>
              <w:spacing w:line="500" w:lineRule="exact"/>
              <w:rPr>
                <w:rFonts w:hint="eastAsia" w:asciiTheme="minorEastAsia" w:hAnsiTheme="minorEastAsia" w:eastAsiaTheme="minorEastAsia" w:cstheme="minorEastAsia"/>
                <w:i w:val="0"/>
                <w:iCs w:val="0"/>
                <w:color w:val="000000" w:themeColor="text1"/>
                <w:sz w:val="24"/>
                <w:szCs w:val="24"/>
                <w:highlight w:val="none"/>
                <w:u w:val="none"/>
                <w:lang w:val="en-US" w:eastAsia="zh-CN" w:bidi="ar-SA"/>
                <w14:textFill>
                  <w14:solidFill>
                    <w14:schemeClr w14:val="tx1"/>
                  </w14:solidFill>
                </w14:textFill>
              </w:rPr>
            </w:pPr>
            <w:r>
              <w:rPr>
                <w:rFonts w:hint="eastAsia" w:asciiTheme="minorEastAsia" w:hAnsiTheme="minorEastAsia" w:eastAsiaTheme="minorEastAsia" w:cstheme="minorEastAsia"/>
                <w:i w:val="0"/>
                <w:iCs w:val="0"/>
                <w:color w:val="000000" w:themeColor="text1"/>
                <w:sz w:val="24"/>
                <w:szCs w:val="24"/>
                <w:highlight w:val="none"/>
                <w:u w:val="none"/>
                <w:lang w:val="en-US" w:eastAsia="zh-CN"/>
                <w14:textFill>
                  <w14:solidFill>
                    <w14:schemeClr w14:val="tx1"/>
                  </w14:solidFill>
                </w14:textFill>
              </w:rPr>
              <w:t xml:space="preserve">售后响应（6分）</w:t>
            </w:r>
            <w:r/>
          </w:p>
        </w:tc>
        <w:tc>
          <w:tcPr>
            <w:shd w:val="clear" w:color="auto" w:fill="auto"/>
            <w:tcW w:w="8011" w:type="dxa"/>
            <w:vAlign w:val="center"/>
            <w:textDirection w:val="lrTb"/>
            <w:noWrap w:val="false"/>
          </w:tcPr>
          <w:p>
            <w:pPr>
              <w:numPr>
                <w:ilvl w:val="0"/>
                <w:numId w:val="0"/>
              </w:numPr>
              <w:jc w:val="left"/>
              <w:keepLines w:val="0"/>
              <w:keepNext w:val="0"/>
              <w:pageBreakBefore w:val="0"/>
              <w:spacing w:line="500" w:lineRule="exact"/>
              <w:widowControl/>
              <w:rPr>
                <w:rStyle w:val="917"/>
                <w:rFonts w:hint="default"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suppressLineNumbers w:val="0"/>
            </w:pPr>
            <w:r>
              <w:rPr>
                <w:rStyle w:val="917"/>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t xml:space="preserve">投标人须就质保期间的售后服务响应与问题解决情况作出承诺，承诺4小时内（含4小时）响应并解决问题的</w:t>
            </w:r>
            <w:r>
              <w:rPr>
                <w:rStyle w:val="917"/>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得6分</w:t>
            </w:r>
            <w:r>
              <w:rPr>
                <w:rStyle w:val="917"/>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t xml:space="preserve">；承诺4小时（不含）至12小时（含）响应并解决问题的</w:t>
            </w:r>
            <w:r>
              <w:rPr>
                <w:rStyle w:val="917"/>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得4分</w:t>
            </w:r>
            <w:r>
              <w:rPr>
                <w:rStyle w:val="917"/>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t xml:space="preserve">；承诺12小时以上响应并解决问题的</w:t>
            </w:r>
            <w:r>
              <w:rPr>
                <w:rStyle w:val="917"/>
                <w:rFonts w:hint="eastAsia" w:asciiTheme="minorEastAsia" w:hAnsiTheme="minorEastAsia" w:eastAsiaTheme="minorEastAsia" w:cstheme="minorEastAsia"/>
                <w:b/>
                <w:bCs/>
                <w:color w:val="000000" w:themeColor="text1"/>
                <w:sz w:val="24"/>
                <w:szCs w:val="24"/>
                <w:highlight w:val="none"/>
                <w:lang w:val="en-US" w:eastAsia="zh-CN" w:bidi="ar"/>
                <w14:textFill>
                  <w14:solidFill>
                    <w14:schemeClr w14:val="tx1"/>
                  </w14:solidFill>
                </w14:textFill>
              </w:rPr>
              <w:t xml:space="preserve">得2分</w:t>
            </w:r>
            <w:r>
              <w:rPr>
                <w:rStyle w:val="917"/>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t xml:space="preserve">。本项最高得6分。</w:t>
            </w:r>
            <w:r/>
          </w:p>
          <w:p>
            <w:pPr>
              <w:pStyle w:val="737"/>
              <w:ind w:left="0" w:firstLine="0"/>
              <w:keepLines w:val="0"/>
              <w:keepNext w:val="0"/>
              <w:pageBreakBefore w:val="0"/>
              <w:spacing w:line="500" w:lineRule="exact"/>
              <w:rPr>
                <w:rStyle w:val="917"/>
                <w:rFonts w:hint="eastAsia" w:asciiTheme="minorEastAsia" w:hAnsiTheme="minorEastAsia" w:eastAsiaTheme="minorEastAsia" w:cstheme="minorEastAsia"/>
                <w:color w:val="000000" w:themeColor="text1"/>
                <w:sz w:val="24"/>
                <w:szCs w:val="24"/>
                <w:highlight w:val="none"/>
                <w:lang w:val="en-US" w:eastAsia="zh-CN" w:bidi="ar"/>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t xml:space="preserve">（投标文件中提供加盖投标人公章的承诺函，须体现响应并解决问题的时间，否则不得分）</w:t>
            </w:r>
            <w:r/>
          </w:p>
        </w:tc>
      </w:tr>
      <w:tr>
        <w:trPr>
          <w:jc w:val="center"/>
          <w:trHeight w:val="621"/>
        </w:trPr>
        <w:tc>
          <w:tcPr>
            <w:shd w:val="clear" w:color="auto" w:fill="auto"/>
            <w:tcW w:w="123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项目实施保障</w:t>
            </w:r>
            <w:r/>
          </w:p>
          <w:p>
            <w:pPr>
              <w:jc w:val="center"/>
              <w:spacing w:line="360" w:lineRule="auto"/>
              <w:rPr>
                <w:rFonts w:hint="eastAsia" w:ascii="宋体" w:hAnsi="宋体" w:eastAsia="宋体" w:cs="宋体"/>
                <w:sz w:val="24"/>
                <w:szCs w:val="24"/>
              </w:rPr>
            </w:pPr>
            <w:r>
              <w:rPr>
                <w:rFonts w:hint="eastAsia" w:ascii="宋体" w:hAnsi="宋体" w:cs="宋体"/>
                <w:sz w:val="24"/>
                <w:szCs w:val="24"/>
              </w:rPr>
              <w:t xml:space="preserve">（5分）</w:t>
            </w:r>
            <w:r/>
          </w:p>
        </w:tc>
        <w:tc>
          <w:tcPr>
            <w:shd w:val="clear" w:color="auto" w:fill="auto"/>
            <w:tcW w:w="8011"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1.投标人具有有效期内的质量管理体系认证证书、环境管理体系认证证书、职业健康安全管理体系认证证书，每提供一</w:t>
            </w:r>
            <w:r>
              <w:rPr>
                <w:rFonts w:hint="eastAsia" w:ascii="宋体" w:hAnsi="宋体" w:cs="宋体"/>
                <w:sz w:val="24"/>
                <w:szCs w:val="24"/>
                <w:lang w:val="en-US" w:eastAsia="zh-CN"/>
              </w:rPr>
              <w:t xml:space="preserve">个</w:t>
            </w:r>
            <w:r>
              <w:rPr>
                <w:rFonts w:hint="eastAsia" w:ascii="宋体" w:hAnsi="宋体" w:cs="宋体"/>
                <w:sz w:val="24"/>
                <w:szCs w:val="24"/>
              </w:rPr>
              <w:t xml:space="preserve">证书得1分，本项最高得3分。</w:t>
            </w:r>
            <w:r/>
          </w:p>
          <w:p>
            <w:pPr>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投标人具有有效期内售后服务认证相关证书，</w:t>
            </w:r>
            <w:r>
              <w:rPr>
                <w:rFonts w:hint="eastAsia" w:ascii="宋体" w:hAnsi="宋体" w:cs="宋体"/>
                <w:sz w:val="24"/>
                <w:szCs w:val="24"/>
              </w:rPr>
              <w:t xml:space="preserve">得2分。</w:t>
            </w:r>
            <w:r/>
          </w:p>
          <w:p>
            <w:pPr>
              <w:spacing w:line="360" w:lineRule="auto"/>
              <w:rPr>
                <w:rFonts w:hint="eastAsia" w:ascii="宋体" w:hAnsi="宋体" w:eastAsia="宋体" w:cs="宋体"/>
                <w:b/>
                <w:sz w:val="24"/>
                <w:szCs w:val="24"/>
              </w:rPr>
            </w:pPr>
            <w:r>
              <w:rPr>
                <w:rFonts w:hint="eastAsia" w:ascii="宋体" w:hAnsi="宋体" w:cs="宋体"/>
                <w:b/>
                <w:sz w:val="24"/>
                <w:szCs w:val="24"/>
              </w:rPr>
              <w:t xml:space="preserve">注：</w:t>
            </w:r>
            <w:r>
              <w:rPr>
                <w:rFonts w:hint="eastAsia" w:ascii="宋体" w:hAnsi="宋体" w:cs="宋体"/>
                <w:b/>
                <w:sz w:val="24"/>
                <w:szCs w:val="24"/>
                <w:lang w:val="en-US" w:eastAsia="zh-CN"/>
              </w:rPr>
              <w:t xml:space="preserve">以上1-2项</w:t>
            </w:r>
            <w:r>
              <w:rPr>
                <w:rFonts w:hint="eastAsia" w:ascii="宋体" w:hAnsi="宋体" w:cs="宋体"/>
                <w:b/>
                <w:sz w:val="24"/>
                <w:szCs w:val="24"/>
              </w:rPr>
              <w:t xml:space="preserve">投标文件中同时提供认证证书及全国认证认可信息公共服务平台官网证书信息查询截图，否则该项不得分。</w:t>
            </w:r>
            <w:r/>
          </w:p>
        </w:tc>
      </w:tr>
      <w:tr>
        <w:trPr>
          <w:jc w:val="center"/>
          <w:trHeight w:val="621"/>
        </w:trPr>
        <w:tc>
          <w:tcPr>
            <w:shd w:val="clear" w:color="auto" w:fill="auto"/>
            <w:tcW w:w="12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项目组成员能力</w:t>
            </w:r>
            <w:r/>
          </w:p>
          <w:p>
            <w:pPr>
              <w:jc w:val="center"/>
              <w:spacing w:line="360" w:lineRule="auto"/>
              <w:rPr>
                <w:rFonts w:hint="eastAsia" w:ascii="宋体" w:hAnsi="宋体" w:eastAsia="宋体" w:cs="Times New Roman"/>
                <w:sz w:val="24"/>
                <w:szCs w:val="24"/>
              </w:rPr>
            </w:pPr>
            <w:r>
              <w:rPr>
                <w:rFonts w:hint="eastAsia" w:ascii="宋体" w:hAnsi="宋体" w:cs="宋体"/>
                <w:sz w:val="24"/>
                <w:szCs w:val="24"/>
              </w:rPr>
              <w:t xml:space="preserve">（5分）</w:t>
            </w:r>
            <w:r/>
          </w:p>
        </w:tc>
        <w:tc>
          <w:tcPr>
            <w:shd w:val="clear" w:color="auto" w:fill="auto"/>
            <w:tcW w:w="8011" w:type="dxa"/>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1.投标人拟派项目负责人具有信息系统项目管理师证书、ITSS</w:t>
            </w:r>
            <w:r>
              <w:rPr>
                <w:rFonts w:hint="eastAsia" w:ascii="宋体" w:hAnsi="宋体" w:cs="宋体"/>
                <w:sz w:val="24"/>
                <w:szCs w:val="24"/>
                <w:lang w:val="en-US" w:eastAsia="zh-CN"/>
              </w:rPr>
              <w:t xml:space="preserve">-IT</w:t>
            </w:r>
            <w:r>
              <w:rPr>
                <w:rFonts w:hint="eastAsia" w:ascii="宋体" w:hAnsi="宋体" w:cs="宋体"/>
                <w:sz w:val="24"/>
                <w:szCs w:val="24"/>
              </w:rPr>
              <w:t xml:space="preserve"> 服务</w:t>
            </w:r>
            <w:r>
              <w:rPr>
                <w:rFonts w:hint="eastAsia" w:ascii="宋体" w:hAnsi="宋体" w:cs="宋体"/>
                <w:sz w:val="24"/>
                <w:szCs w:val="24"/>
                <w:lang w:val="en-US" w:eastAsia="zh-CN"/>
              </w:rPr>
              <w:t xml:space="preserve">工程师</w:t>
            </w:r>
            <w:r>
              <w:rPr>
                <w:rFonts w:hint="eastAsia" w:ascii="宋体" w:hAnsi="宋体" w:cs="宋体"/>
                <w:sz w:val="24"/>
                <w:szCs w:val="24"/>
              </w:rPr>
              <w:t xml:space="preserve">证书的，每提供一</w:t>
            </w:r>
            <w:r>
              <w:rPr>
                <w:rFonts w:hint="eastAsia" w:ascii="宋体" w:hAnsi="宋体" w:cs="宋体"/>
                <w:sz w:val="24"/>
                <w:szCs w:val="24"/>
                <w:lang w:val="en-US" w:eastAsia="zh-CN"/>
              </w:rPr>
              <w:t xml:space="preserve">个</w:t>
            </w:r>
            <w:r>
              <w:rPr>
                <w:rFonts w:hint="eastAsia" w:ascii="宋体" w:hAnsi="宋体" w:cs="宋体"/>
                <w:sz w:val="24"/>
                <w:szCs w:val="24"/>
              </w:rPr>
              <w:t xml:space="preserve">证书得</w:t>
            </w:r>
            <w:r>
              <w:rPr>
                <w:rFonts w:hint="eastAsia" w:ascii="宋体" w:hAnsi="宋体" w:cs="宋体"/>
                <w:sz w:val="24"/>
                <w:szCs w:val="24"/>
                <w:lang w:val="en-US" w:eastAsia="zh-CN"/>
              </w:rPr>
              <w:t xml:space="preserve">1</w:t>
            </w:r>
            <w:r>
              <w:rPr>
                <w:rFonts w:hint="eastAsia" w:ascii="宋体" w:hAnsi="宋体" w:cs="宋体"/>
                <w:sz w:val="24"/>
                <w:szCs w:val="24"/>
              </w:rPr>
              <w:t xml:space="preserve">分，本项最高得2分。</w:t>
            </w:r>
            <w:r/>
          </w:p>
          <w:p>
            <w:pPr>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投标人拟派的</w:t>
            </w:r>
            <w:r>
              <w:rPr>
                <w:rFonts w:hint="eastAsia" w:ascii="宋体" w:hAnsi="宋体" w:cs="宋体"/>
                <w:sz w:val="24"/>
                <w:szCs w:val="24"/>
              </w:rPr>
              <w:t xml:space="preserve">项目组其他成员（不含项目负责人）不少于3名，</w:t>
            </w:r>
            <w:r>
              <w:rPr>
                <w:rFonts w:hint="eastAsia" w:ascii="宋体" w:hAnsi="宋体" w:cs="宋体"/>
                <w:sz w:val="24"/>
                <w:szCs w:val="24"/>
                <w:lang w:val="en-US" w:eastAsia="zh-CN"/>
              </w:rPr>
              <w:t xml:space="preserve">且成员中</w:t>
            </w:r>
            <w:r>
              <w:rPr>
                <w:rFonts w:hint="eastAsia" w:ascii="宋体" w:hAnsi="宋体" w:cs="宋体"/>
                <w:sz w:val="24"/>
                <w:szCs w:val="24"/>
              </w:rPr>
              <w:t xml:space="preserve">具有网络规划设计师证书、注册信息安全专业人员证书（CISP）、信息安全保障人员认证证书（CISAW）</w:t>
            </w:r>
            <w:r>
              <w:rPr>
                <w:rFonts w:hint="eastAsia" w:ascii="宋体" w:hAnsi="宋体" w:cs="宋体"/>
                <w:sz w:val="24"/>
                <w:szCs w:val="24"/>
                <w:lang w:val="en-US" w:eastAsia="zh-CN"/>
              </w:rPr>
              <w:t xml:space="preserve">的</w:t>
            </w:r>
            <w:r>
              <w:rPr>
                <w:rFonts w:hint="eastAsia" w:ascii="宋体" w:hAnsi="宋体" w:cs="宋体"/>
                <w:sz w:val="24"/>
                <w:szCs w:val="24"/>
              </w:rPr>
              <w:t xml:space="preserve">，每提供一类证书得1分，本项最高得3分。一人具有多项证书或多人具有相同证书不重复得分。</w:t>
            </w:r>
            <w:r/>
          </w:p>
          <w:p>
            <w:pPr>
              <w:jc w:val="left"/>
              <w:spacing w:line="360" w:lineRule="auto"/>
              <w:rPr>
                <w:rFonts w:hint="eastAsia" w:ascii="宋体" w:hAnsi="宋体" w:eastAsia="宋体" w:cs="Times New Roman"/>
                <w:sz w:val="24"/>
                <w:szCs w:val="24"/>
              </w:rPr>
            </w:pPr>
            <w:r>
              <w:rPr>
                <w:rFonts w:hint="eastAsia" w:ascii="宋体" w:hAnsi="宋体" w:cs="宋体"/>
                <w:b/>
                <w:sz w:val="24"/>
                <w:szCs w:val="24"/>
              </w:rPr>
              <w:t xml:space="preserve">注：投标文件中提供项目成员名单、相关证书证明以及2025年1月（含）以来任意一个月由投标人为其缴纳社保证明材料的复印件或电子件或扫描件并加盖投标人公章，缺项或未提供不得分。</w:t>
            </w:r>
            <w:r/>
          </w:p>
        </w:tc>
      </w:tr>
      <w:tr>
        <w:trPr>
          <w:jc w:val="center"/>
          <w:trHeight w:val="621"/>
        </w:trPr>
        <w:tc>
          <w:tcPr>
            <w:shd w:val="clear" w:color="auto" w:fill="auto"/>
            <w:tcW w:w="1239" w:type="dxa"/>
            <w:vAlign w:val="center"/>
            <w:textDirection w:val="lrTb"/>
            <w:noWrap w:val="false"/>
          </w:tcPr>
          <w:p>
            <w:pPr>
              <w:jc w:val="center"/>
              <w:keepLines w:val="0"/>
              <w:keepNext w:val="0"/>
              <w:pageBreakBefore w:val="0"/>
              <w:spacing w:line="50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rPr>
              <w:t xml:space="preserve">低挥发性原辅材料</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0.5分</w:t>
            </w:r>
            <w:r>
              <w:rPr>
                <w:rFonts w:hint="eastAsia" w:asciiTheme="minorEastAsia" w:hAnsiTheme="minorEastAsia" w:eastAsiaTheme="minorEastAsia" w:cstheme="minorEastAsia"/>
                <w:color w:val="000000"/>
                <w:sz w:val="24"/>
                <w:szCs w:val="24"/>
                <w:highlight w:val="none"/>
                <w:lang w:eastAsia="zh-CN"/>
              </w:rPr>
              <w:t xml:space="preserve">）</w:t>
            </w:r>
            <w:r/>
          </w:p>
        </w:tc>
        <w:tc>
          <w:tcPr>
            <w:shd w:val="clear" w:color="auto" w:fill="auto"/>
            <w:tcW w:w="8011" w:type="dxa"/>
            <w:vAlign w:val="center"/>
            <w:textDirection w:val="lrTb"/>
            <w:noWrap w:val="false"/>
          </w:tcPr>
          <w:p>
            <w:pPr>
              <w:jc w:val="left"/>
              <w:keepLines w:val="0"/>
              <w:keepNext w:val="0"/>
              <w:pageBreakBefore w:val="0"/>
              <w:spacing w:line="5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依据《江苏省财政厅关于加强政府绿色采购有关事项的通知》（苏财购〔2023〕65号），供应商承诺在本项目中优先使用低挥发性原辅材料的得</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w:t>
            </w:r>
            <w:r/>
          </w:p>
          <w:p>
            <w:pPr>
              <w:jc w:val="left"/>
              <w:keepLines w:val="0"/>
              <w:keepNext w:val="0"/>
              <w:pageBreakBefore w:val="0"/>
              <w:spacing w:line="5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投标文件中须</w:t>
            </w:r>
            <w:r>
              <w:rPr>
                <w:rFonts w:hint="eastAsia" w:asciiTheme="minorEastAsia" w:hAnsiTheme="minorEastAsia" w:eastAsiaTheme="minorEastAsia" w:cstheme="minorEastAsia"/>
                <w:b/>
                <w:bCs/>
                <w:sz w:val="24"/>
                <w:szCs w:val="24"/>
                <w:highlight w:val="none"/>
                <w:lang w:val="en-US" w:eastAsia="zh-CN"/>
              </w:rPr>
              <w:t xml:space="preserve">同时</w:t>
            </w:r>
            <w:r>
              <w:rPr>
                <w:rFonts w:hint="eastAsia" w:asciiTheme="minorEastAsia" w:hAnsiTheme="minorEastAsia" w:eastAsiaTheme="minorEastAsia" w:cstheme="minorEastAsia"/>
                <w:b/>
                <w:bCs/>
                <w:sz w:val="24"/>
                <w:szCs w:val="24"/>
                <w:highlight w:val="none"/>
              </w:rPr>
              <w:t xml:space="preserve">提供：①承诺函并加盖公章；②使用低VOCs 含量原辅材料的有效证明材料扫描件</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复印件或扫描件；</w:t>
            </w:r>
            <w:r>
              <w:rPr>
                <w:rFonts w:hint="eastAsia" w:asciiTheme="minorEastAsia" w:hAnsiTheme="minorEastAsia" w:eastAsiaTheme="minorEastAsia" w:cstheme="minorEastAsia"/>
                <w:b/>
                <w:bCs/>
                <w:sz w:val="24"/>
                <w:szCs w:val="24"/>
                <w:highlight w:val="none"/>
              </w:rPr>
              <w:t xml:space="preserve">否则不得分。</w:t>
            </w:r>
            <w:r/>
          </w:p>
        </w:tc>
      </w:tr>
      <w:tr>
        <w:trPr>
          <w:jc w:val="center"/>
          <w:trHeight w:val="621"/>
        </w:trPr>
        <w:tc>
          <w:tcPr>
            <w:shd w:val="clear" w:color="auto" w:fill="auto"/>
            <w:tcW w:w="1239" w:type="dxa"/>
            <w:vAlign w:val="center"/>
            <w:textDirection w:val="lrTb"/>
            <w:noWrap w:val="false"/>
          </w:tcPr>
          <w:p>
            <w:pPr>
              <w:jc w:val="center"/>
              <w:keepLines w:val="0"/>
              <w:keepNext w:val="0"/>
              <w:pageBreakBefore w:val="0"/>
              <w:spacing w:line="5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节能环保</w:t>
            </w:r>
            <w:r/>
          </w:p>
          <w:p>
            <w:pPr>
              <w:jc w:val="center"/>
              <w:keepLines w:val="0"/>
              <w:keepNext w:val="0"/>
              <w:pageBreakBefore w:val="0"/>
              <w:spacing w:line="5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0.5</w:t>
            </w:r>
            <w:r>
              <w:rPr>
                <w:rFonts w:hint="eastAsia" w:asciiTheme="minorEastAsia" w:hAnsiTheme="minorEastAsia" w:eastAsiaTheme="minorEastAsia" w:cstheme="minorEastAsia"/>
                <w:sz w:val="24"/>
                <w:szCs w:val="24"/>
              </w:rPr>
              <w:t xml:space="preserve">分）</w:t>
            </w:r>
            <w:r/>
          </w:p>
        </w:tc>
        <w:tc>
          <w:tcPr>
            <w:shd w:val="clear" w:color="auto" w:fill="auto"/>
            <w:tcW w:w="8011" w:type="dxa"/>
            <w:vAlign w:val="center"/>
            <w:textDirection w:val="lrTb"/>
            <w:noWrap w:val="false"/>
          </w:tcPr>
          <w:p>
            <w:pPr>
              <w:jc w:val="left"/>
              <w:keepLines w:val="0"/>
              <w:keepNext w:val="0"/>
              <w:pageBreakBefore w:val="0"/>
              <w:spacing w:line="5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1、投标标的属于财政部、国家发展改革委公布的“节能产品政府采购品目清单”范围内的，投标人提供国家确定的认证机构出具的、处于有效期之内的该节能产品认证证书</w:t>
            </w:r>
            <w:r>
              <w:rPr>
                <w:rFonts w:hint="eastAsia" w:asciiTheme="minorEastAsia" w:hAnsiTheme="minorEastAsia" w:eastAsiaTheme="minorEastAsia" w:cstheme="minorEastAsia"/>
                <w:sz w:val="24"/>
                <w:szCs w:val="24"/>
                <w:lang w:eastAsia="zh-CN"/>
              </w:rPr>
              <w:t xml:space="preserve">扫描件、复印件或电子件</w:t>
            </w:r>
            <w:r>
              <w:rPr>
                <w:rFonts w:hint="eastAsia" w:asciiTheme="minorEastAsia" w:hAnsiTheme="minorEastAsia" w:eastAsiaTheme="minorEastAsia" w:cstheme="minorEastAsia"/>
                <w:sz w:val="24"/>
                <w:szCs w:val="24"/>
              </w:rPr>
              <w:t xml:space="preserve">的，有1个得</w:t>
            </w:r>
            <w:r>
              <w:rPr>
                <w:rFonts w:hint="eastAsia" w:asciiTheme="minorEastAsia" w:hAnsiTheme="minorEastAsia" w:eastAsiaTheme="minorEastAsia" w:cstheme="minorEastAsia"/>
                <w:sz w:val="24"/>
                <w:szCs w:val="24"/>
                <w:lang w:val="en-US" w:eastAsia="zh-CN"/>
              </w:rPr>
              <w:t xml:space="preserve">0.2</w:t>
            </w:r>
            <w:r>
              <w:rPr>
                <w:rFonts w:hint="eastAsia" w:asciiTheme="minorEastAsia" w:hAnsiTheme="minorEastAsia" w:eastAsiaTheme="minorEastAsia" w:cstheme="minorEastAsia"/>
                <w:sz w:val="24"/>
                <w:szCs w:val="24"/>
              </w:rPr>
              <w:t xml:space="preserve">分，最多得</w:t>
            </w:r>
            <w:r>
              <w:rPr>
                <w:rFonts w:hint="eastAsia" w:asciiTheme="minorEastAsia" w:hAnsiTheme="minorEastAsia" w:eastAsiaTheme="minorEastAsia" w:cstheme="minorEastAsia"/>
                <w:sz w:val="24"/>
                <w:szCs w:val="24"/>
                <w:lang w:val="en-US" w:eastAsia="zh-CN"/>
              </w:rPr>
              <w:t xml:space="preserve">0.2</w:t>
            </w:r>
            <w:r>
              <w:rPr>
                <w:rFonts w:hint="eastAsia" w:asciiTheme="minorEastAsia" w:hAnsiTheme="minorEastAsia" w:eastAsiaTheme="minorEastAsia" w:cstheme="minorEastAsia"/>
                <w:sz w:val="24"/>
                <w:szCs w:val="24"/>
              </w:rPr>
              <w:t xml:space="preserve">分。如投标标的均属于政府强制采购节能产品品目清单范围内，本项不得分。</w:t>
            </w:r>
            <w:r/>
          </w:p>
          <w:p>
            <w:pPr>
              <w:jc w:val="left"/>
              <w:keepLines w:val="0"/>
              <w:keepNext w:val="0"/>
              <w:pageBreakBefore w:val="0"/>
              <w:spacing w:line="50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2、投标标的属于财政部、生态环境部公布的“环境标志产品政府采购品目清单”范围内的，投标人提供国家确定的认证机构出具的、处于有效期内的该环境标志产品认证证书</w:t>
            </w:r>
            <w:r>
              <w:rPr>
                <w:rFonts w:hint="eastAsia" w:asciiTheme="minorEastAsia" w:hAnsiTheme="minorEastAsia" w:eastAsiaTheme="minorEastAsia" w:cstheme="minorEastAsia"/>
                <w:sz w:val="24"/>
                <w:szCs w:val="24"/>
                <w:lang w:eastAsia="zh-CN"/>
              </w:rPr>
              <w:t xml:space="preserve">扫描件、复印件或电子件</w:t>
            </w:r>
            <w:r>
              <w:rPr>
                <w:rFonts w:hint="eastAsia" w:asciiTheme="minorEastAsia" w:hAnsiTheme="minorEastAsia" w:eastAsiaTheme="minorEastAsia" w:cstheme="minorEastAsia"/>
                <w:sz w:val="24"/>
                <w:szCs w:val="24"/>
              </w:rPr>
              <w:t xml:space="preserve">的，有1个得0</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分，最多得</w:t>
            </w:r>
            <w:r>
              <w:rPr>
                <w:rFonts w:hint="eastAsia" w:asciiTheme="minorEastAsia" w:hAnsiTheme="minorEastAsia" w:eastAsiaTheme="minorEastAsia" w:cstheme="minorEastAsia"/>
                <w:sz w:val="24"/>
                <w:szCs w:val="24"/>
                <w:lang w:val="en-US" w:eastAsia="zh-CN"/>
              </w:rPr>
              <w:t xml:space="preserve">0.3</w:t>
            </w:r>
            <w:r>
              <w:rPr>
                <w:rFonts w:hint="eastAsia" w:asciiTheme="minorEastAsia" w:hAnsiTheme="minorEastAsia" w:eastAsiaTheme="minorEastAsia" w:cstheme="minorEastAsia"/>
                <w:sz w:val="24"/>
                <w:szCs w:val="24"/>
              </w:rPr>
              <w:t xml:space="preserve">分。</w:t>
            </w:r>
            <w:bookmarkEnd w:id="28"/>
            <w:r/>
            <w:r/>
          </w:p>
        </w:tc>
      </w:tr>
    </w:tbl>
    <w:p>
      <w:pPr>
        <w:rPr>
          <w:rFonts w:hint="eastAsia" w:ascii="黑体" w:hAnsi="黑体" w:eastAsia="黑体"/>
          <w:lang w:eastAsia="zh-CN"/>
        </w:rPr>
      </w:pPr>
      <w:r>
        <w:rPr>
          <w:rFonts w:hint="eastAsia" w:ascii="黑体" w:hAnsi="黑体" w:eastAsia="黑体"/>
          <w:lang w:eastAsia="zh-CN"/>
        </w:rPr>
        <w:br w:type="page" w:clear="all"/>
      </w:r>
      <w:r/>
    </w:p>
    <w:p>
      <w:pPr>
        <w:pStyle w:val="692"/>
        <w:jc w:val="center"/>
        <w:spacing w:before="156" w:after="156" w:line="360" w:lineRule="auto"/>
        <w:rPr>
          <w:rFonts w:ascii="黑体" w:hAnsi="黑体" w:eastAsia="黑体"/>
          <w:lang w:eastAsia="zh-CN"/>
        </w:rPr>
      </w:pPr>
      <w:r>
        <w:rPr>
          <w:rFonts w:hint="eastAsia" w:ascii="黑体" w:hAnsi="黑体" w:eastAsia="黑体"/>
          <w:lang w:eastAsia="zh-CN"/>
        </w:rPr>
        <w:t xml:space="preserve">第六章  投标文件格式</w:t>
      </w:r>
      <w:bookmarkEnd w:id="14"/>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日期：年月日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日期：年月日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日期：年月日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（项目名称）</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rPr>
        <w:t xml:space="preserve">联系方式</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rPr>
        <w:t xml:space="preserve">，联系方式</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日期：年月日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pPr>
        <w:pStyle w:val="737"/>
        <w:rPr>
          <w:lang w:eastAsia="zh-CN"/>
        </w:rPr>
      </w:pPr>
      <w:r>
        <w:rPr>
          <w:lang w:eastAsia="zh-CN"/>
        </w:rPr>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日期：年月日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default" w:ascii="宋体" w:hAnsi="宋体" w:eastAsia="宋体"/>
          <w:color w:val="000000"/>
          <w:sz w:val="24"/>
          <w:szCs w:val="21"/>
          <w:u w:val="single"/>
          <w:lang w:val="en-US" w:eastAsia="zh-CN"/>
        </w:rPr>
      </w:pPr>
      <w:r>
        <w:rPr>
          <w:rFonts w:hint="eastAsia" w:ascii="宋体" w:hAnsi="宋体"/>
          <w:color w:val="000000"/>
          <w:sz w:val="24"/>
          <w:szCs w:val="21"/>
        </w:rPr>
        <w:t xml:space="preserve">致：</w:t>
      </w:r>
      <w:r>
        <w:rPr>
          <w:rFonts w:hint="eastAsia" w:ascii="宋体" w:hAnsi="宋体"/>
          <w:color w:val="000000"/>
          <w:sz w:val="24"/>
          <w:szCs w:val="21"/>
          <w:u w:val="single"/>
          <w:lang w:val="en-US" w:eastAsia="zh-CN"/>
        </w:rPr>
        <w:t xml:space="preserve">             </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1"/>
          <w:u w:val="single"/>
          <w:lang w:val="en-US" w:eastAsia="zh-CN"/>
        </w:rPr>
        <w:t xml:space="preserve">   </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70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5"/>
        <w:gridCol w:w="1189"/>
        <w:gridCol w:w="656"/>
        <w:gridCol w:w="785"/>
        <w:gridCol w:w="694"/>
        <w:gridCol w:w="649"/>
        <w:gridCol w:w="471"/>
        <w:gridCol w:w="694"/>
        <w:gridCol w:w="694"/>
        <w:gridCol w:w="1106"/>
        <w:gridCol w:w="1052"/>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13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5"/>
            <w:tcW w:w="4064"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日期：年月日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color w:val="000000"/>
          <w:szCs w:val="24"/>
        </w:rPr>
      </w:pPr>
      <w:r>
        <w:rPr>
          <w:rFonts w:hint="eastAsia" w:ascii="宋体" w:hAnsi="宋体"/>
          <w:color w:val="000000"/>
          <w:szCs w:val="24"/>
        </w:rPr>
        <w:t xml:space="preserve">填报说明：</w:t>
      </w:r>
      <w:r/>
    </w:p>
    <w:p>
      <w:pPr>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color w:val="000000"/>
          <w:szCs w:val="24"/>
        </w:rPr>
      </w:pPr>
      <w:r>
        <w:rPr>
          <w:rFonts w:hint="eastAsia" w:ascii="Times New Roman" w:hAnsi="宋体"/>
          <w:color w:val="000000"/>
          <w:szCs w:val="24"/>
        </w:rPr>
        <w:t xml:space="preserve">4、行数或事项不够，可自行增加。</w:t>
      </w:r>
      <w:r/>
    </w:p>
    <w:p>
      <w:pPr>
        <w:ind w:firstLine="480"/>
        <w:spacing w:line="500" w:lineRule="exact"/>
      </w:pPr>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70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r/>
      <w:r/>
    </w:p>
    <w:p>
      <w:r/>
      <w:r/>
    </w:p>
    <w:p>
      <w:pPr>
        <w:jc w:val="left"/>
        <w:keepLines/>
        <w:keepNext/>
        <w:spacing w:before="360" w:after="200" w:line="360" w:lineRule="auto"/>
        <w:rPr>
          <w:rFonts w:ascii="Arial" w:hAnsi="Arial" w:cs="Arial"/>
          <w:i/>
          <w:iCs/>
          <w:sz w:val="36"/>
          <w:u w:val="single"/>
        </w:rPr>
        <w:outlineLvl w:val="1"/>
      </w:pPr>
      <w:r/>
      <w:bookmarkStart w:id="15" w:name="_Hlt26955054"/>
      <w:r/>
      <w:bookmarkEnd w:id="15"/>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16" w:name="_Hlt26580838"/>
            <w:r/>
            <w:bookmarkEnd w:id="16"/>
            <w:r/>
            <w:bookmarkStart w:id="17" w:name="_Hlt26955056"/>
            <w:r/>
            <w:bookmarkEnd w:id="17"/>
            <w:r/>
            <w:bookmarkStart w:id="18" w:name="_Hlt24879081"/>
            <w:r/>
            <w:bookmarkEnd w:id="18"/>
            <w:r/>
            <w:bookmarkStart w:id="19" w:name="_Hlt26955064"/>
            <w:r/>
            <w:bookmarkEnd w:id="19"/>
            <w:r/>
            <w:bookmarkStart w:id="20" w:name="_Hlt26671343"/>
            <w:r/>
            <w:bookmarkEnd w:id="20"/>
            <w:r/>
            <w:bookmarkStart w:id="21" w:name="_Hlt26782999"/>
            <w:r/>
            <w:bookmarkEnd w:id="21"/>
            <w:r/>
            <w:bookmarkStart w:id="22" w:name="_Hlt26671372"/>
            <w:r/>
            <w:bookmarkEnd w:id="22"/>
            <w:r/>
            <w:bookmarkStart w:id="23" w:name="_Hlt26609391"/>
            <w:r/>
            <w:bookmarkEnd w:id="23"/>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r/>
      <w:bookmarkStart w:id="24" w:name="_Hlt26955066"/>
      <w:r/>
      <w:bookmarkEnd w:id="24"/>
      <w:r/>
      <w:bookmarkStart w:id="25" w:name="_格式2__法定代表人授权书"/>
      <w:r/>
      <w:bookmarkEnd w:id="25"/>
      <w:r/>
      <w:bookmarkStart w:id="26" w:name="_Hlt26671374"/>
      <w:r/>
      <w:bookmarkEnd w:id="26"/>
      <w:r/>
      <w:bookmarkStart w:id="27" w:name="_Hlt26609389"/>
      <w:r/>
      <w:bookmarkEnd w:id="27"/>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r/>
      <w:r/>
    </w:p>
    <w:p>
      <w:r/>
      <w:r/>
    </w:p>
    <w:p>
      <w:pPr>
        <w:ind w:firstLine="643"/>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十九、开标一览表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p>
    <w:tbl>
      <w:tblPr>
        <w:tblStyle w:val="70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p>
        </w:tc>
        <w:tc>
          <w:tcPr>
            <w:tcW w:w="5703" w:type="dxa"/>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p>
        </w:tc>
      </w:tr>
      <w:tr>
        <w:trPr/>
        <w:tc>
          <w:tcPr>
            <w:tcW w:w="2802" w:type="dxa"/>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c>
          <w:tcPr>
            <w:tcW w:w="5703" w:type="dxa"/>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元</w:t>
            </w:r>
            <w:r/>
          </w:p>
        </w:tc>
      </w:tr>
      <w:tr>
        <w:trPr/>
        <w:tc>
          <w:tcPr>
            <w:tcW w:w="2802" w:type="dxa"/>
            <w:textDirection w:val="lrTb"/>
            <w:noWrap w:val="false"/>
          </w:tcPr>
          <w:p>
            <w:pPr>
              <w:jc w:val="center"/>
              <w:spacing w:line="50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核心产品</w:t>
            </w:r>
            <w:r>
              <w:rPr>
                <w:rFonts w:hint="eastAsia" w:ascii="宋体" w:hAnsi="宋体"/>
                <w:color w:val="000000"/>
                <w:sz w:val="24"/>
                <w:szCs w:val="24"/>
                <w:lang w:val="en-US" w:eastAsia="zh-CN"/>
              </w:rPr>
              <w:t xml:space="preserve">名称及品牌</w:t>
            </w:r>
            <w:r/>
          </w:p>
        </w:tc>
        <w:tc>
          <w:tcPr>
            <w:tcW w:w="5703" w:type="dxa"/>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r>
    </w:tbl>
    <w:p>
      <w:pPr>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年月日</w:t>
      </w:r>
      <w:r/>
    </w:p>
    <w:p>
      <w:pPr>
        <w:spacing w:line="500" w:lineRule="exact"/>
        <w:rPr>
          <w:rFonts w:ascii="宋体" w:hAnsi="宋体"/>
          <w:color w:val="000000"/>
          <w:sz w:val="24"/>
          <w:szCs w:val="24"/>
          <w:highlight w:val="yellow"/>
        </w:rPr>
      </w:pPr>
      <w:r>
        <w:rPr>
          <w:rFonts w:ascii="宋体" w:hAnsi="宋体"/>
          <w:color w:val="000000"/>
          <w:sz w:val="24"/>
          <w:szCs w:val="24"/>
          <w:highlight w:val="yellow"/>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MS Mincho">
    <w:panose1 w:val="02020603050405090304"/>
  </w:font>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Courier New">
    <w:panose1 w:val="02070309020205020404"/>
  </w:font>
  <w:font w:name="仿宋_GB2312">
    <w:panose1 w:val="02010609060101010101"/>
  </w:font>
  <w:font w:name="华文中宋">
    <w:panose1 w:val="02010600040101010101"/>
  </w:font>
  <w:font w:name="黑体">
    <w:panose1 w:val="02010609060101010101"/>
  </w:font>
  <w:font w:name="Cambria">
    <w:panose1 w:val="02040503050406030204"/>
  </w:font>
  <w:font w:name="Arial">
    <w:panose1 w:val="020B0604020202020204"/>
  </w:font>
  <w:font w:name="Calibri">
    <w:panose1 w:val="020F0502020204030204"/>
  </w:font>
  <w:font w:name="Helvetica">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9"/>
  </w:num>
  <w:num w:numId="4">
    <w:abstractNumId w:val="3"/>
  </w:num>
  <w:num w:numId="5">
    <w:abstractNumId w:val="1"/>
  </w:num>
  <w:num w:numId="6">
    <w:abstractNumId w:val="10"/>
  </w:num>
  <w:num w:numId="7">
    <w:abstractNumId w:val="5"/>
  </w:num>
  <w:num w:numId="8">
    <w:abstractNumId w:val="2"/>
  </w:num>
  <w:num w:numId="9">
    <w:abstractNumId w:val="8"/>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uiPriority w:val="0"/>
    <w:qFormat/>
    <w:pPr>
      <w:jc w:val="both"/>
      <w:widowControl w:val="off"/>
    </w:pPr>
    <w:rPr>
      <w:rFonts w:hint="default" w:ascii="Calibri" w:hAnsi="Calibri" w:eastAsia="宋体" w:cs="Times New Roman"/>
      <w:sz w:val="21"/>
      <w:szCs w:val="22"/>
    </w:rPr>
  </w:style>
  <w:style w:type="paragraph" w:styleId="692">
    <w:name w:val="Heading 1"/>
    <w:basedOn w:val="691"/>
    <w:next w:val="691"/>
    <w:link w:val="915"/>
    <w:uiPriority w:val="9"/>
    <w:qFormat/>
    <w:pPr>
      <w:keepLines/>
      <w:keepNext/>
      <w:spacing w:before="480" w:after="200"/>
      <w:outlineLvl w:val="0"/>
    </w:pPr>
    <w:rPr>
      <w:rFonts w:ascii="Arial" w:hAnsi="Arial" w:eastAsia="Arial"/>
      <w:sz w:val="40"/>
      <w:szCs w:val="40"/>
      <w:lang w:eastAsia="en-US"/>
    </w:rPr>
  </w:style>
  <w:style w:type="paragraph" w:styleId="693">
    <w:name w:val="Heading 2"/>
    <w:basedOn w:val="691"/>
    <w:next w:val="691"/>
    <w:link w:val="739"/>
    <w:uiPriority w:val="9"/>
    <w:qFormat/>
    <w:pPr>
      <w:keepLines/>
      <w:keepNext/>
      <w:spacing w:before="260" w:after="260" w:line="416" w:lineRule="auto"/>
      <w:outlineLvl w:val="1"/>
    </w:pPr>
    <w:rPr>
      <w:rFonts w:ascii="Cambria" w:hAnsi="Cambria"/>
      <w:b/>
      <w:bCs/>
      <w:sz w:val="32"/>
      <w:szCs w:val="32"/>
      <w:lang w:eastAsia="en-US"/>
    </w:rPr>
  </w:style>
  <w:style w:type="paragraph" w:styleId="694">
    <w:name w:val="Heading 3"/>
    <w:basedOn w:val="691"/>
    <w:next w:val="691"/>
    <w:link w:val="901"/>
    <w:uiPriority w:val="9"/>
    <w:qFormat/>
    <w:pPr>
      <w:keepLines/>
      <w:keepNext/>
      <w:spacing w:before="260" w:after="260" w:line="416" w:lineRule="auto"/>
      <w:outlineLvl w:val="2"/>
    </w:pPr>
    <w:rPr>
      <w:rFonts w:ascii="Times New Roman" w:hAnsi="Times New Roman"/>
      <w:b/>
      <w:bCs/>
      <w:sz w:val="32"/>
      <w:szCs w:val="32"/>
      <w:lang w:eastAsia="en-US"/>
    </w:rPr>
  </w:style>
  <w:style w:type="paragraph" w:styleId="695">
    <w:name w:val="Heading 4"/>
    <w:basedOn w:val="691"/>
    <w:next w:val="691"/>
    <w:link w:val="757"/>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740"/>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691"/>
    <w:next w:val="691"/>
    <w:link w:val="758"/>
    <w:uiPriority w:val="9"/>
    <w:unhideWhenUsed/>
    <w:qFormat/>
    <w:pPr>
      <w:keepLines/>
      <w:keepNext/>
      <w:spacing w:before="320" w:after="200"/>
      <w:outlineLvl w:val="5"/>
    </w:pPr>
    <w:rPr>
      <w:rFonts w:ascii="Arial" w:hAnsi="Arial" w:eastAsia="Arial" w:cs="Arial"/>
      <w:b/>
      <w:bCs/>
      <w:sz w:val="22"/>
    </w:rPr>
  </w:style>
  <w:style w:type="paragraph" w:styleId="698">
    <w:name w:val="Heading 7"/>
    <w:basedOn w:val="691"/>
    <w:next w:val="691"/>
    <w:link w:val="759"/>
    <w:uiPriority w:val="9"/>
    <w:unhideWhenUsed/>
    <w:qFormat/>
    <w:pPr>
      <w:keepLines/>
      <w:keepNext/>
      <w:spacing w:before="320" w:after="200"/>
      <w:outlineLvl w:val="6"/>
    </w:pPr>
    <w:rPr>
      <w:rFonts w:ascii="Arial" w:hAnsi="Arial" w:eastAsia="Arial" w:cs="Arial"/>
      <w:b/>
      <w:bCs/>
      <w:i/>
      <w:iCs/>
      <w:sz w:val="22"/>
    </w:rPr>
  </w:style>
  <w:style w:type="paragraph" w:styleId="699">
    <w:name w:val="Heading 8"/>
    <w:basedOn w:val="691"/>
    <w:next w:val="691"/>
    <w:link w:val="760"/>
    <w:uiPriority w:val="9"/>
    <w:unhideWhenUsed/>
    <w:qFormat/>
    <w:pPr>
      <w:keepLines/>
      <w:keepNext/>
      <w:spacing w:before="320" w:after="200"/>
      <w:outlineLvl w:val="7"/>
    </w:pPr>
    <w:rPr>
      <w:rFonts w:ascii="Arial" w:hAnsi="Arial" w:eastAsia="Arial" w:cs="Arial"/>
      <w:i/>
      <w:iCs/>
      <w:sz w:val="22"/>
    </w:rPr>
  </w:style>
  <w:style w:type="paragraph" w:styleId="700">
    <w:name w:val="Heading 9"/>
    <w:basedOn w:val="691"/>
    <w:next w:val="691"/>
    <w:link w:val="761"/>
    <w:uiPriority w:val="9"/>
    <w:unhideWhenUsed/>
    <w:qFormat/>
    <w:pPr>
      <w:keepLines/>
      <w:keepNext/>
      <w:spacing w:before="320" w:after="200"/>
      <w:outlineLvl w:val="8"/>
    </w:pPr>
    <w:rPr>
      <w:rFonts w:ascii="Arial" w:hAnsi="Arial" w:eastAsia="Arial" w:cs="Arial"/>
      <w:i/>
      <w:iCs/>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39"/>
    <w:unhideWhenUsed/>
    <w:qFormat/>
    <w:pPr>
      <w:ind w:left="1701"/>
      <w:spacing w:after="57"/>
    </w:pPr>
  </w:style>
  <w:style w:type="paragraph" w:styleId="704">
    <w:name w:val="Caption"/>
    <w:basedOn w:val="691"/>
    <w:next w:val="691"/>
    <w:uiPriority w:val="35"/>
    <w:qFormat/>
    <w:rPr>
      <w:rFonts w:ascii="Cambria" w:hAnsi="Cambria" w:eastAsia="黑体"/>
      <w:sz w:val="20"/>
      <w:szCs w:val="20"/>
    </w:rPr>
  </w:style>
  <w:style w:type="paragraph" w:styleId="705">
    <w:name w:val="Document Map"/>
    <w:basedOn w:val="691"/>
    <w:link w:val="902"/>
    <w:uiPriority w:val="99"/>
    <w:unhideWhenUsed/>
    <w:qFormat/>
    <w:rPr>
      <w:rFonts w:ascii="宋体" w:hAnsi="Times New Roman"/>
      <w:sz w:val="18"/>
      <w:szCs w:val="18"/>
      <w:lang w:eastAsia="en-US"/>
    </w:rPr>
  </w:style>
  <w:style w:type="paragraph" w:styleId="706">
    <w:name w:val="annotation text"/>
    <w:basedOn w:val="691"/>
    <w:link w:val="903"/>
    <w:uiPriority w:val="0"/>
    <w:qFormat/>
    <w:pPr>
      <w:ind w:firstLine="922"/>
      <w:jc w:val="left"/>
      <w:spacing w:line="360" w:lineRule="auto"/>
    </w:pPr>
    <w:rPr>
      <w:rFonts w:ascii="Times New Roman" w:hAnsi="Times New Roman"/>
      <w:sz w:val="20"/>
      <w:szCs w:val="24"/>
      <w:lang w:eastAsia="en-US"/>
    </w:rPr>
  </w:style>
  <w:style w:type="paragraph" w:styleId="707">
    <w:name w:val="Body Text"/>
    <w:basedOn w:val="691"/>
    <w:next w:val="691"/>
    <w:link w:val="904"/>
    <w:uiPriority w:val="0"/>
    <w:unhideWhenUsed/>
    <w:qFormat/>
    <w:pPr>
      <w:spacing w:after="120"/>
    </w:pPr>
    <w:rPr>
      <w:sz w:val="20"/>
      <w:szCs w:val="20"/>
      <w:lang w:eastAsia="en-US"/>
    </w:rPr>
  </w:style>
  <w:style w:type="paragraph" w:styleId="708">
    <w:name w:val="Body Text Indent"/>
    <w:basedOn w:val="691"/>
    <w:link w:val="905"/>
    <w:uiPriority w:val="0"/>
    <w:qFormat/>
    <w:pPr>
      <w:ind w:left="420"/>
      <w:spacing w:after="120"/>
    </w:pPr>
    <w:rPr>
      <w:rFonts w:ascii="Times New Roman" w:hAnsi="Times New Roman"/>
      <w:sz w:val="20"/>
      <w:szCs w:val="24"/>
      <w:lang w:eastAsia="en-US"/>
    </w:rPr>
  </w:style>
  <w:style w:type="paragraph" w:styleId="709">
    <w:name w:val="toc 5"/>
    <w:basedOn w:val="691"/>
    <w:next w:val="691"/>
    <w:uiPriority w:val="39"/>
    <w:unhideWhenUsed/>
    <w:qFormat/>
    <w:pPr>
      <w:ind w:left="1134"/>
      <w:spacing w:after="57"/>
    </w:pPr>
  </w:style>
  <w:style w:type="paragraph" w:styleId="710">
    <w:name w:val="toc 3"/>
    <w:basedOn w:val="691"/>
    <w:next w:val="691"/>
    <w:uiPriority w:val="39"/>
    <w:unhideWhenUsed/>
    <w:qFormat/>
    <w:pPr>
      <w:ind w:left="567"/>
      <w:spacing w:after="57"/>
    </w:pPr>
  </w:style>
  <w:style w:type="paragraph" w:styleId="711">
    <w:name w:val="Plain Text"/>
    <w:basedOn w:val="691"/>
    <w:link w:val="906"/>
    <w:uiPriority w:val="0"/>
    <w:qFormat/>
    <w:rPr>
      <w:rFonts w:ascii="宋体" w:hAnsi="Courier New"/>
      <w:sz w:val="20"/>
      <w:szCs w:val="21"/>
      <w:lang w:eastAsia="en-US"/>
    </w:rPr>
  </w:style>
  <w:style w:type="paragraph" w:styleId="712">
    <w:name w:val="toc 8"/>
    <w:basedOn w:val="691"/>
    <w:next w:val="691"/>
    <w:uiPriority w:val="39"/>
    <w:unhideWhenUsed/>
    <w:qFormat/>
    <w:pPr>
      <w:ind w:left="1984"/>
      <w:spacing w:after="57"/>
    </w:pPr>
  </w:style>
  <w:style w:type="paragraph" w:styleId="713">
    <w:name w:val="Date"/>
    <w:basedOn w:val="691"/>
    <w:next w:val="691"/>
    <w:link w:val="907"/>
    <w:uiPriority w:val="99"/>
    <w:unhideWhenUsed/>
    <w:qFormat/>
    <w:pPr>
      <w:ind w:left="100"/>
    </w:pPr>
  </w:style>
  <w:style w:type="paragraph" w:styleId="714">
    <w:name w:val="endnote text"/>
    <w:basedOn w:val="691"/>
    <w:link w:val="899"/>
    <w:uiPriority w:val="99"/>
    <w:semiHidden/>
    <w:unhideWhenUsed/>
    <w:qFormat/>
    <w:rPr>
      <w:sz w:val="20"/>
    </w:rPr>
  </w:style>
  <w:style w:type="paragraph" w:styleId="715">
    <w:name w:val="Balloon Text"/>
    <w:basedOn w:val="691"/>
    <w:link w:val="908"/>
    <w:uiPriority w:val="99"/>
    <w:unhideWhenUsed/>
    <w:qFormat/>
    <w:rPr>
      <w:rFonts w:ascii="Times New Roman" w:hAnsi="Times New Roman"/>
      <w:sz w:val="18"/>
      <w:szCs w:val="18"/>
      <w:lang w:eastAsia="en-US"/>
    </w:rPr>
  </w:style>
  <w:style w:type="paragraph" w:styleId="716">
    <w:name w:val="Footer"/>
    <w:basedOn w:val="691"/>
    <w:link w:val="909"/>
    <w:uiPriority w:val="99"/>
    <w:unhideWhenUsed/>
    <w:qFormat/>
    <w:pPr>
      <w:jc w:val="left"/>
      <w:tabs>
        <w:tab w:val="center" w:pos="4153" w:leader="none"/>
        <w:tab w:val="right" w:pos="8306" w:leader="none"/>
      </w:tabs>
    </w:pPr>
    <w:rPr>
      <w:rFonts w:ascii="Times New Roman" w:hAnsi="Times New Roman"/>
      <w:sz w:val="18"/>
      <w:szCs w:val="18"/>
      <w:lang w:eastAsia="en-US"/>
    </w:rPr>
  </w:style>
  <w:style w:type="paragraph" w:styleId="717">
    <w:name w:val="envelope return"/>
    <w:basedOn w:val="691"/>
    <w:uiPriority w:val="0"/>
    <w:qFormat/>
    <w:rPr>
      <w:rFonts w:ascii="Arial" w:hAnsi="Arial" w:eastAsia="宋体" w:cs="Times New Roman"/>
    </w:rPr>
  </w:style>
  <w:style w:type="paragraph" w:styleId="718">
    <w:name w:val="Header"/>
    <w:basedOn w:val="691"/>
    <w:link w:val="910"/>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lang w:eastAsia="en-US"/>
    </w:rPr>
  </w:style>
  <w:style w:type="paragraph" w:styleId="719">
    <w:name w:val="toc 1"/>
    <w:basedOn w:val="691"/>
    <w:next w:val="691"/>
    <w:uiPriority w:val="39"/>
    <w:unhideWhenUsed/>
    <w:qFormat/>
    <w:pPr>
      <w:jc w:val="center"/>
      <w:tabs>
        <w:tab w:val="right" w:pos="8296" w:leader="dot"/>
      </w:tabs>
    </w:pPr>
    <w:rPr>
      <w:rFonts w:ascii="黑体" w:hAnsi="黑体" w:eastAsia="黑体"/>
      <w:sz w:val="44"/>
      <w:szCs w:val="44"/>
    </w:rPr>
  </w:style>
  <w:style w:type="paragraph" w:styleId="720">
    <w:name w:val="toc 4"/>
    <w:basedOn w:val="691"/>
    <w:next w:val="691"/>
    <w:uiPriority w:val="39"/>
    <w:unhideWhenUsed/>
    <w:qFormat/>
    <w:pPr>
      <w:ind w:left="850"/>
      <w:spacing w:after="57"/>
    </w:pPr>
  </w:style>
  <w:style w:type="paragraph" w:styleId="721">
    <w:name w:val="Subtitle"/>
    <w:basedOn w:val="691"/>
    <w:next w:val="691"/>
    <w:link w:val="765"/>
    <w:uiPriority w:val="11"/>
    <w:qFormat/>
    <w:pPr>
      <w:spacing w:before="200" w:after="200"/>
    </w:pPr>
    <w:rPr>
      <w:sz w:val="24"/>
      <w:szCs w:val="24"/>
    </w:rPr>
  </w:style>
  <w:style w:type="paragraph" w:styleId="722">
    <w:name w:val="footnote text"/>
    <w:basedOn w:val="691"/>
    <w:link w:val="898"/>
    <w:uiPriority w:val="99"/>
    <w:semiHidden/>
    <w:unhideWhenUsed/>
    <w:qFormat/>
    <w:pPr>
      <w:spacing w:after="40"/>
    </w:pPr>
    <w:rPr>
      <w:sz w:val="18"/>
    </w:rPr>
  </w:style>
  <w:style w:type="paragraph" w:styleId="723">
    <w:name w:val="toc 6"/>
    <w:basedOn w:val="691"/>
    <w:next w:val="691"/>
    <w:uiPriority w:val="39"/>
    <w:unhideWhenUsed/>
    <w:qFormat/>
    <w:pPr>
      <w:ind w:left="1417"/>
      <w:spacing w:after="57"/>
    </w:pPr>
  </w:style>
  <w:style w:type="paragraph" w:styleId="724">
    <w:name w:val="table of figures"/>
    <w:basedOn w:val="691"/>
    <w:next w:val="691"/>
    <w:uiPriority w:val="99"/>
    <w:unhideWhenUsed/>
    <w:qFormat/>
  </w:style>
  <w:style w:type="paragraph" w:styleId="725">
    <w:name w:val="toc 2"/>
    <w:basedOn w:val="691"/>
    <w:next w:val="691"/>
    <w:uiPriority w:val="39"/>
    <w:unhideWhenUsed/>
    <w:qFormat/>
    <w:pPr>
      <w:ind w:left="283"/>
      <w:spacing w:after="57"/>
    </w:pPr>
  </w:style>
  <w:style w:type="paragraph" w:styleId="726">
    <w:name w:val="toc 9"/>
    <w:basedOn w:val="691"/>
    <w:next w:val="691"/>
    <w:uiPriority w:val="39"/>
    <w:unhideWhenUsed/>
    <w:qFormat/>
    <w:pPr>
      <w:ind w:left="2268"/>
      <w:spacing w:after="57"/>
    </w:pPr>
  </w:style>
  <w:style w:type="paragraph" w:styleId="727">
    <w:name w:val="Normal (Web)"/>
    <w:basedOn w:val="691"/>
    <w:uiPriority w:val="99"/>
    <w:unhideWhenUsed/>
    <w:qFormat/>
    <w:rPr>
      <w:sz w:val="24"/>
    </w:rPr>
  </w:style>
  <w:style w:type="paragraph" w:styleId="728">
    <w:name w:val="Title"/>
    <w:basedOn w:val="691"/>
    <w:next w:val="691"/>
    <w:link w:val="764"/>
    <w:uiPriority w:val="10"/>
    <w:qFormat/>
    <w:pPr>
      <w:contextualSpacing/>
      <w:spacing w:before="300" w:after="200"/>
    </w:pPr>
    <w:rPr>
      <w:sz w:val="48"/>
      <w:szCs w:val="48"/>
    </w:rPr>
  </w:style>
  <w:style w:type="paragraph" w:styleId="729">
    <w:name w:val="annotation subject"/>
    <w:basedOn w:val="706"/>
    <w:next w:val="706"/>
    <w:link w:val="911"/>
    <w:uiPriority w:val="99"/>
    <w:unhideWhenUsed/>
    <w:qFormat/>
    <w:pPr>
      <w:ind w:firstLine="0"/>
      <w:spacing w:line="240" w:lineRule="auto"/>
    </w:pPr>
    <w:rPr>
      <w:rFonts w:ascii="Calibri" w:hAnsi="Calibri"/>
      <w:b/>
      <w:bCs/>
      <w:sz w:val="21"/>
      <w:szCs w:val="22"/>
    </w:rPr>
  </w:style>
  <w:style w:type="paragraph" w:styleId="730">
    <w:name w:val="Body Text First Indent 2"/>
    <w:basedOn w:val="708"/>
    <w:uiPriority w:val="99"/>
    <w:unhideWhenUsed/>
    <w:qFormat/>
    <w:pPr>
      <w:ind w:firstLine="420"/>
    </w:pPr>
  </w:style>
  <w:style w:type="table" w:styleId="731">
    <w:name w:val="Table Grid"/>
    <w:basedOn w:val="702"/>
    <w:uiPriority w:val="59"/>
    <w:qFormat/>
    <w:tblPr>
      <w:tblCellMar>
        <w:left w:w="108" w:type="dxa"/>
        <w:top w:w="0" w:type="dxa"/>
        <w:right w:w="108" w:type="dxa"/>
        <w:bottom w:w="0" w:type="dxa"/>
      </w:tblCellMar>
    </w:tblPr>
  </w:style>
  <w:style w:type="character" w:styleId="732">
    <w:name w:val="Strong"/>
    <w:basedOn w:val="701"/>
    <w:uiPriority w:val="22"/>
    <w:qFormat/>
    <w:rPr>
      <w:b/>
    </w:rPr>
  </w:style>
  <w:style w:type="character" w:styleId="733">
    <w:name w:val="endnote reference"/>
    <w:uiPriority w:val="99"/>
    <w:semiHidden/>
    <w:unhideWhenUsed/>
    <w:qFormat/>
    <w:rPr>
      <w:vertAlign w:val="superscript"/>
    </w:rPr>
  </w:style>
  <w:style w:type="character" w:styleId="734">
    <w:name w:val="Hyperlink"/>
    <w:uiPriority w:val="99"/>
    <w:qFormat/>
    <w:rPr>
      <w:color w:val="0000ff"/>
      <w:u w:val="none"/>
    </w:rPr>
  </w:style>
  <w:style w:type="character" w:styleId="735">
    <w:name w:val="annotation reference"/>
    <w:uiPriority w:val="0"/>
    <w:qFormat/>
    <w:rPr>
      <w:sz w:val="21"/>
      <w:szCs w:val="21"/>
    </w:rPr>
  </w:style>
  <w:style w:type="character" w:styleId="736">
    <w:name w:val="footnote reference"/>
    <w:uiPriority w:val="99"/>
    <w:unhideWhenUsed/>
    <w:qFormat/>
    <w:rPr>
      <w:vertAlign w:val="superscript"/>
    </w:rPr>
  </w:style>
  <w:style w:type="paragraph" w:styleId="737" w:customStyle="1">
    <w:name w:val="正文首行缩进11"/>
    <w:basedOn w:val="738"/>
    <w:uiPriority w:val="0"/>
    <w:qFormat/>
    <w:pPr>
      <w:ind w:firstLine="200"/>
      <w:spacing w:line="360" w:lineRule="auto"/>
    </w:pPr>
    <w:rPr>
      <w:rFonts w:ascii="仿宋_GB2312" w:hAnsi="Times New Roman" w:eastAsia="仿宋_GB2312"/>
      <w:sz w:val="30"/>
      <w:szCs w:val="30"/>
    </w:rPr>
  </w:style>
  <w:style w:type="paragraph" w:styleId="738" w:customStyle="1">
    <w:name w:val="正文文本11"/>
    <w:basedOn w:val="691"/>
    <w:next w:val="691"/>
    <w:uiPriority w:val="0"/>
    <w:qFormat/>
    <w:rPr>
      <w:rFonts w:ascii="楷体_GB2312" w:hAnsi="Arial" w:eastAsia="楷体_GB2312"/>
      <w:sz w:val="28"/>
      <w:szCs w:val="28"/>
      <w:lang w:eastAsia="en-US"/>
    </w:rPr>
  </w:style>
  <w:style w:type="character" w:styleId="739" w:customStyle="1">
    <w:name w:val="标题 2 Char"/>
    <w:link w:val="693"/>
    <w:uiPriority w:val="9"/>
    <w:qFormat/>
    <w:rPr>
      <w:rFonts w:ascii="Cambria" w:hAnsi="Cambria" w:eastAsia="宋体" w:cs="Times New Roman"/>
      <w:b/>
      <w:bCs/>
      <w:sz w:val="32"/>
      <w:szCs w:val="32"/>
    </w:rPr>
  </w:style>
  <w:style w:type="character" w:styleId="740" w:customStyle="1">
    <w:name w:val="标题 5 Char"/>
    <w:link w:val="696"/>
    <w:uiPriority w:val="9"/>
    <w:qFormat/>
    <w:rPr>
      <w:rFonts w:ascii="Arial" w:hAnsi="Arial" w:eastAsia="Arial" w:cs="Arial"/>
      <w:b/>
      <w:bCs/>
      <w:sz w:val="24"/>
      <w:szCs w:val="24"/>
    </w:rPr>
  </w:style>
  <w:style w:type="character" w:styleId="741" w:customStyle="1">
    <w:name w:val="标题 1 Char"/>
    <w:uiPriority w:val="9"/>
    <w:qFormat/>
    <w:rPr>
      <w:b/>
      <w:bCs/>
      <w:sz w:val="44"/>
      <w:szCs w:val="44"/>
    </w:rPr>
  </w:style>
  <w:style w:type="character" w:styleId="742" w:customStyle="1">
    <w:name w:val="Heading 1 Char"/>
    <w:basedOn w:val="701"/>
    <w:uiPriority w:val="9"/>
    <w:qFormat/>
    <w:rPr>
      <w:rFonts w:ascii="Arial" w:hAnsi="Arial" w:eastAsia="Arial" w:cs="Arial"/>
      <w:sz w:val="40"/>
      <w:szCs w:val="40"/>
    </w:rPr>
  </w:style>
  <w:style w:type="character" w:styleId="743" w:customStyle="1">
    <w:name w:val="Heading 4 Char"/>
    <w:basedOn w:val="701"/>
    <w:uiPriority w:val="9"/>
    <w:qFormat/>
    <w:rPr>
      <w:rFonts w:ascii="Arial" w:hAnsi="Arial" w:eastAsia="Arial" w:cs="Arial"/>
      <w:b/>
      <w:bCs/>
      <w:sz w:val="26"/>
      <w:szCs w:val="26"/>
    </w:rPr>
  </w:style>
  <w:style w:type="character" w:styleId="744" w:customStyle="1">
    <w:name w:val="Heading 5 Char"/>
    <w:basedOn w:val="701"/>
    <w:uiPriority w:val="9"/>
    <w:qFormat/>
    <w:rPr>
      <w:rFonts w:ascii="Arial" w:hAnsi="Arial" w:eastAsia="Arial" w:cs="Arial"/>
      <w:b/>
      <w:bCs/>
      <w:sz w:val="24"/>
      <w:szCs w:val="24"/>
    </w:rPr>
  </w:style>
  <w:style w:type="character" w:styleId="745" w:customStyle="1">
    <w:name w:val="Heading 6 Char"/>
    <w:basedOn w:val="701"/>
    <w:uiPriority w:val="9"/>
    <w:qFormat/>
    <w:rPr>
      <w:rFonts w:ascii="Arial" w:hAnsi="Arial" w:eastAsia="Arial" w:cs="Arial"/>
      <w:b/>
      <w:bCs/>
      <w:sz w:val="22"/>
      <w:szCs w:val="22"/>
    </w:rPr>
  </w:style>
  <w:style w:type="character" w:styleId="746" w:customStyle="1">
    <w:name w:val="Heading 7 Char"/>
    <w:basedOn w:val="701"/>
    <w:uiPriority w:val="9"/>
    <w:qFormat/>
    <w:rPr>
      <w:rFonts w:ascii="Arial" w:hAnsi="Arial" w:eastAsia="Arial" w:cs="Arial"/>
      <w:b/>
      <w:bCs/>
      <w:i/>
      <w:iCs/>
      <w:sz w:val="22"/>
      <w:szCs w:val="22"/>
    </w:rPr>
  </w:style>
  <w:style w:type="character" w:styleId="747" w:customStyle="1">
    <w:name w:val="Heading 8 Char"/>
    <w:basedOn w:val="701"/>
    <w:uiPriority w:val="9"/>
    <w:qFormat/>
    <w:rPr>
      <w:rFonts w:ascii="Arial" w:hAnsi="Arial" w:eastAsia="Arial" w:cs="Arial"/>
      <w:i/>
      <w:iCs/>
      <w:sz w:val="22"/>
      <w:szCs w:val="22"/>
    </w:rPr>
  </w:style>
  <w:style w:type="character" w:styleId="748" w:customStyle="1">
    <w:name w:val="Heading 9 Char"/>
    <w:basedOn w:val="701"/>
    <w:uiPriority w:val="9"/>
    <w:qFormat/>
    <w:rPr>
      <w:rFonts w:ascii="Arial" w:hAnsi="Arial" w:eastAsia="Arial" w:cs="Arial"/>
      <w:i/>
      <w:iCs/>
      <w:sz w:val="21"/>
      <w:szCs w:val="21"/>
    </w:rPr>
  </w:style>
  <w:style w:type="character" w:styleId="749" w:customStyle="1">
    <w:name w:val="Title Char"/>
    <w:basedOn w:val="701"/>
    <w:uiPriority w:val="10"/>
    <w:qFormat/>
    <w:rPr>
      <w:sz w:val="48"/>
      <w:szCs w:val="48"/>
    </w:rPr>
  </w:style>
  <w:style w:type="character" w:styleId="750" w:customStyle="1">
    <w:name w:val="Subtitle Char"/>
    <w:basedOn w:val="701"/>
    <w:uiPriority w:val="11"/>
    <w:qFormat/>
    <w:rPr>
      <w:sz w:val="24"/>
      <w:szCs w:val="24"/>
    </w:rPr>
  </w:style>
  <w:style w:type="character" w:styleId="751" w:customStyle="1">
    <w:name w:val="Quote Char"/>
    <w:uiPriority w:val="29"/>
    <w:qFormat/>
    <w:rPr>
      <w:i/>
    </w:rPr>
  </w:style>
  <w:style w:type="character" w:styleId="752" w:customStyle="1">
    <w:name w:val="Intense Quote Char"/>
    <w:uiPriority w:val="30"/>
    <w:qFormat/>
    <w:rPr>
      <w:i/>
    </w:rPr>
  </w:style>
  <w:style w:type="character" w:styleId="753" w:customStyle="1">
    <w:name w:val="Footnote Text Char"/>
    <w:uiPriority w:val="99"/>
    <w:qFormat/>
    <w:rPr>
      <w:sz w:val="18"/>
    </w:rPr>
  </w:style>
  <w:style w:type="character" w:styleId="754" w:customStyle="1">
    <w:name w:val="Endnote Text Char"/>
    <w:uiPriority w:val="99"/>
    <w:qFormat/>
    <w:rPr>
      <w:sz w:val="20"/>
    </w:rPr>
  </w:style>
  <w:style w:type="character" w:styleId="755" w:customStyle="1">
    <w:name w:val="Heading 2 Char"/>
    <w:uiPriority w:val="9"/>
    <w:qFormat/>
    <w:rPr>
      <w:rFonts w:ascii="Arial" w:hAnsi="Arial" w:eastAsia="Arial" w:cs="Arial"/>
      <w:sz w:val="34"/>
    </w:rPr>
  </w:style>
  <w:style w:type="character" w:styleId="756" w:customStyle="1">
    <w:name w:val="Heading 3 Char"/>
    <w:uiPriority w:val="9"/>
    <w:qFormat/>
    <w:rPr>
      <w:rFonts w:ascii="Arial" w:hAnsi="Arial" w:eastAsia="Arial" w:cs="Arial"/>
      <w:sz w:val="30"/>
      <w:szCs w:val="30"/>
    </w:rPr>
  </w:style>
  <w:style w:type="character" w:styleId="757" w:customStyle="1">
    <w:name w:val="标题 4 Char"/>
    <w:link w:val="695"/>
    <w:uiPriority w:val="9"/>
    <w:qFormat/>
    <w:rPr>
      <w:rFonts w:ascii="Arial" w:hAnsi="Arial" w:eastAsia="Arial" w:cs="Arial"/>
      <w:b/>
      <w:bCs/>
      <w:sz w:val="26"/>
      <w:szCs w:val="26"/>
    </w:rPr>
  </w:style>
  <w:style w:type="character" w:styleId="758" w:customStyle="1">
    <w:name w:val="标题 6 Char"/>
    <w:link w:val="697"/>
    <w:uiPriority w:val="9"/>
    <w:qFormat/>
    <w:rPr>
      <w:rFonts w:ascii="Arial" w:hAnsi="Arial" w:eastAsia="Arial" w:cs="Arial"/>
      <w:b/>
      <w:bCs/>
      <w:sz w:val="22"/>
      <w:szCs w:val="22"/>
    </w:rPr>
  </w:style>
  <w:style w:type="character" w:styleId="759" w:customStyle="1">
    <w:name w:val="标题 7 Char"/>
    <w:link w:val="698"/>
    <w:uiPriority w:val="9"/>
    <w:qFormat/>
    <w:rPr>
      <w:rFonts w:ascii="Arial" w:hAnsi="Arial" w:eastAsia="Arial" w:cs="Arial"/>
      <w:b/>
      <w:bCs/>
      <w:i/>
      <w:iCs/>
      <w:sz w:val="22"/>
      <w:szCs w:val="22"/>
    </w:rPr>
  </w:style>
  <w:style w:type="character" w:styleId="760" w:customStyle="1">
    <w:name w:val="标题 8 Char"/>
    <w:link w:val="699"/>
    <w:uiPriority w:val="9"/>
    <w:qFormat/>
    <w:rPr>
      <w:rFonts w:ascii="Arial" w:hAnsi="Arial" w:eastAsia="Arial" w:cs="Arial"/>
      <w:i/>
      <w:iCs/>
      <w:sz w:val="22"/>
      <w:szCs w:val="22"/>
    </w:rPr>
  </w:style>
  <w:style w:type="character" w:styleId="761" w:customStyle="1">
    <w:name w:val="标题 9 Char"/>
    <w:link w:val="700"/>
    <w:uiPriority w:val="9"/>
    <w:qFormat/>
    <w:rPr>
      <w:rFonts w:ascii="Arial" w:hAnsi="Arial" w:eastAsia="Arial" w:cs="Arial"/>
      <w:i/>
      <w:iCs/>
      <w:sz w:val="21"/>
      <w:szCs w:val="21"/>
    </w:rPr>
  </w:style>
  <w:style w:type="paragraph" w:styleId="762">
    <w:name w:val="List Paragraph"/>
    <w:basedOn w:val="691"/>
    <w:uiPriority w:val="34"/>
    <w:qFormat/>
    <w:pPr>
      <w:contextualSpacing/>
      <w:ind w:left="720"/>
    </w:pPr>
  </w:style>
  <w:style w:type="paragraph" w:styleId="763">
    <w:name w:val="No Spacing"/>
    <w:uiPriority w:val="1"/>
    <w:qFormat/>
    <w:rPr>
      <w:rFonts w:hint="default" w:ascii="Times New Roman" w:hAnsi="Times New Roman" w:eastAsia="宋体" w:cs="Times New Roman"/>
    </w:rPr>
  </w:style>
  <w:style w:type="character" w:styleId="764" w:customStyle="1">
    <w:name w:val="标题 Char"/>
    <w:link w:val="728"/>
    <w:uiPriority w:val="10"/>
    <w:qFormat/>
    <w:rPr>
      <w:sz w:val="48"/>
      <w:szCs w:val="48"/>
    </w:rPr>
  </w:style>
  <w:style w:type="character" w:styleId="765" w:customStyle="1">
    <w:name w:val="副标题 Char"/>
    <w:link w:val="721"/>
    <w:uiPriority w:val="11"/>
    <w:qFormat/>
    <w:rPr>
      <w:sz w:val="24"/>
      <w:szCs w:val="24"/>
    </w:rPr>
  </w:style>
  <w:style w:type="paragraph" w:styleId="766">
    <w:name w:val="Quote"/>
    <w:basedOn w:val="691"/>
    <w:next w:val="691"/>
    <w:link w:val="767"/>
    <w:uiPriority w:val="29"/>
    <w:qFormat/>
    <w:pPr>
      <w:ind w:left="720" w:right="720"/>
    </w:pPr>
    <w:rPr>
      <w:i/>
    </w:rPr>
  </w:style>
  <w:style w:type="character" w:styleId="767" w:customStyle="1">
    <w:name w:val="引用 Char"/>
    <w:link w:val="766"/>
    <w:uiPriority w:val="29"/>
    <w:qFormat/>
    <w:rPr>
      <w:i/>
    </w:rPr>
  </w:style>
  <w:style w:type="paragraph" w:styleId="768">
    <w:name w:val="Intense Quote"/>
    <w:basedOn w:val="691"/>
    <w:next w:val="691"/>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Char"/>
    <w:link w:val="768"/>
    <w:uiPriority w:val="30"/>
    <w:qFormat/>
    <w:rPr>
      <w:i/>
    </w:rPr>
  </w:style>
  <w:style w:type="character" w:styleId="770" w:customStyle="1">
    <w:name w:val="Header Char"/>
    <w:uiPriority w:val="99"/>
    <w:qFormat/>
  </w:style>
  <w:style w:type="character" w:styleId="771" w:customStyle="1">
    <w:name w:val="Footer Char"/>
    <w:uiPriority w:val="99"/>
    <w:qFormat/>
  </w:style>
  <w:style w:type="character" w:styleId="772" w:customStyle="1">
    <w:name w:val="Caption Char"/>
    <w:uiPriority w:val="99"/>
    <w:qFormat/>
  </w:style>
  <w:style w:type="table" w:styleId="77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4"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6" w:customStyle="1">
    <w:name w:val="Plain Table 3"/>
    <w:uiPriority w:val="99"/>
    <w:qFormat/>
    <w:tblPr>
      <w:tblCellMar>
        <w:left w:w="0" w:type="dxa"/>
        <w:top w:w="0" w:type="dxa"/>
        <w:right w:w="0" w:type="dxa"/>
        <w:bottom w:w="0" w:type="dxa"/>
      </w:tblCellMar>
    </w:tblPr>
  </w:style>
  <w:style w:type="table" w:styleId="777" w:customStyle="1">
    <w:name w:val="Plain Table 4"/>
    <w:uiPriority w:val="99"/>
    <w:qFormat/>
    <w:tblPr>
      <w:tblCellMar>
        <w:left w:w="0" w:type="dxa"/>
        <w:top w:w="0" w:type="dxa"/>
        <w:right w:w="0" w:type="dxa"/>
        <w:bottom w:w="0" w:type="dxa"/>
      </w:tblCellMar>
    </w:tblPr>
  </w:style>
  <w:style w:type="table" w:styleId="778" w:customStyle="1">
    <w:name w:val="Plain Table 5"/>
    <w:uiPriority w:val="99"/>
    <w:qFormat/>
    <w:tblPr>
      <w:tblCellMar>
        <w:left w:w="0" w:type="dxa"/>
        <w:top w:w="0" w:type="dxa"/>
        <w:right w:w="0" w:type="dxa"/>
        <w:bottom w:w="0" w:type="dxa"/>
      </w:tblCellMar>
    </w:tblPr>
  </w:style>
  <w:style w:type="table" w:styleId="779"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6"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3"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0"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4"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8" w:customStyle="1">
    <w:name w:val="List Table 1 Light"/>
    <w:uiPriority w:val="99"/>
    <w:qFormat/>
    <w:tblPr>
      <w:tblCellMar>
        <w:left w:w="0" w:type="dxa"/>
        <w:top w:w="0" w:type="dxa"/>
        <w:right w:w="0" w:type="dxa"/>
        <w:bottom w:w="0" w:type="dxa"/>
      </w:tblCellMar>
    </w:tblPr>
  </w:style>
  <w:style w:type="table" w:styleId="829" w:customStyle="1">
    <w:name w:val="List Table 1 Light - Accent 1"/>
    <w:uiPriority w:val="99"/>
    <w:qFormat/>
    <w:tblPr>
      <w:tblCellMar>
        <w:left w:w="0" w:type="dxa"/>
        <w:top w:w="0" w:type="dxa"/>
        <w:right w:w="0" w:type="dxa"/>
        <w:bottom w:w="0" w:type="dxa"/>
      </w:tblCellMar>
    </w:tblPr>
  </w:style>
  <w:style w:type="table" w:styleId="830" w:customStyle="1">
    <w:name w:val="List Table 1 Light - Accent 2"/>
    <w:uiPriority w:val="99"/>
    <w:qFormat/>
    <w:tblPr>
      <w:tblCellMar>
        <w:left w:w="0" w:type="dxa"/>
        <w:top w:w="0" w:type="dxa"/>
        <w:right w:w="0" w:type="dxa"/>
        <w:bottom w:w="0" w:type="dxa"/>
      </w:tblCellMar>
    </w:tblPr>
  </w:style>
  <w:style w:type="table" w:styleId="831" w:customStyle="1">
    <w:name w:val="List Table 1 Light - Accent 3"/>
    <w:uiPriority w:val="99"/>
    <w:qFormat/>
    <w:tblPr>
      <w:tblCellMar>
        <w:left w:w="0" w:type="dxa"/>
        <w:top w:w="0" w:type="dxa"/>
        <w:right w:w="0" w:type="dxa"/>
        <w:bottom w:w="0" w:type="dxa"/>
      </w:tblCellMar>
    </w:tblPr>
  </w:style>
  <w:style w:type="table" w:styleId="832" w:customStyle="1">
    <w:name w:val="List Table 1 Light - Accent 4"/>
    <w:uiPriority w:val="99"/>
    <w:qFormat/>
    <w:tblPr>
      <w:tblCellMar>
        <w:left w:w="0" w:type="dxa"/>
        <w:top w:w="0" w:type="dxa"/>
        <w:right w:w="0" w:type="dxa"/>
        <w:bottom w:w="0" w:type="dxa"/>
      </w:tblCellMar>
    </w:tblPr>
  </w:style>
  <w:style w:type="table" w:styleId="833" w:customStyle="1">
    <w:name w:val="List Table 1 Light - Accent 5"/>
    <w:uiPriority w:val="99"/>
    <w:qFormat/>
    <w:tblPr>
      <w:tblCellMar>
        <w:left w:w="0" w:type="dxa"/>
        <w:top w:w="0" w:type="dxa"/>
        <w:right w:w="0" w:type="dxa"/>
        <w:bottom w:w="0" w:type="dxa"/>
      </w:tblCellMar>
    </w:tblPr>
  </w:style>
  <w:style w:type="table" w:styleId="834" w:customStyle="1">
    <w:name w:val="List Table 1 Light - Accent 6"/>
    <w:uiPriority w:val="99"/>
    <w:qFormat/>
    <w:tblPr>
      <w:tblCellMar>
        <w:left w:w="0" w:type="dxa"/>
        <w:top w:w="0" w:type="dxa"/>
        <w:right w:w="0" w:type="dxa"/>
        <w:bottom w:w="0" w:type="dxa"/>
      </w:tblCellMar>
    </w:tblPr>
  </w:style>
  <w:style w:type="table" w:styleId="835"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3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4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6"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5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3"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6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0"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7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7" w:customStyle="1">
    <w:name w:val="Lined - Accent"/>
    <w:uiPriority w:val="99"/>
    <w:qFormat/>
    <w:rPr>
      <w:color w:val="404040"/>
    </w:rPr>
    <w:tblPr>
      <w:tblCellMar>
        <w:left w:w="0" w:type="dxa"/>
        <w:top w:w="0" w:type="dxa"/>
        <w:right w:w="0" w:type="dxa"/>
        <w:bottom w:w="0" w:type="dxa"/>
      </w:tblCellMar>
    </w:tblPr>
  </w:style>
  <w:style w:type="table" w:styleId="878" w:customStyle="1">
    <w:name w:val="Lined - Accent 1"/>
    <w:uiPriority w:val="99"/>
    <w:qFormat/>
    <w:rPr>
      <w:color w:val="404040"/>
    </w:rPr>
    <w:tblPr>
      <w:tblCellMar>
        <w:left w:w="0" w:type="dxa"/>
        <w:top w:w="0" w:type="dxa"/>
        <w:right w:w="0" w:type="dxa"/>
        <w:bottom w:w="0" w:type="dxa"/>
      </w:tblCellMar>
    </w:tblPr>
  </w:style>
  <w:style w:type="table" w:styleId="879" w:customStyle="1">
    <w:name w:val="Lined - Accent 2"/>
    <w:uiPriority w:val="99"/>
    <w:qFormat/>
    <w:rPr>
      <w:color w:val="404040"/>
    </w:rPr>
    <w:tblPr>
      <w:tblCellMar>
        <w:left w:w="0" w:type="dxa"/>
        <w:top w:w="0" w:type="dxa"/>
        <w:right w:w="0" w:type="dxa"/>
        <w:bottom w:w="0" w:type="dxa"/>
      </w:tblCellMar>
    </w:tblPr>
  </w:style>
  <w:style w:type="table" w:styleId="880" w:customStyle="1">
    <w:name w:val="Lined - Accent 3"/>
    <w:uiPriority w:val="99"/>
    <w:qFormat/>
    <w:rPr>
      <w:color w:val="404040"/>
    </w:rPr>
    <w:tblPr>
      <w:tblCellMar>
        <w:left w:w="0" w:type="dxa"/>
        <w:top w:w="0" w:type="dxa"/>
        <w:right w:w="0" w:type="dxa"/>
        <w:bottom w:w="0" w:type="dxa"/>
      </w:tblCellMar>
    </w:tblPr>
  </w:style>
  <w:style w:type="table" w:styleId="881" w:customStyle="1">
    <w:name w:val="Lined - Accent 4"/>
    <w:uiPriority w:val="99"/>
    <w:qFormat/>
    <w:rPr>
      <w:color w:val="404040"/>
    </w:rPr>
    <w:tblPr>
      <w:tblCellMar>
        <w:left w:w="0" w:type="dxa"/>
        <w:top w:w="0" w:type="dxa"/>
        <w:right w:w="0" w:type="dxa"/>
        <w:bottom w:w="0" w:type="dxa"/>
      </w:tblCellMar>
    </w:tblPr>
  </w:style>
  <w:style w:type="table" w:styleId="882" w:customStyle="1">
    <w:name w:val="Lined - Accent 5"/>
    <w:uiPriority w:val="99"/>
    <w:qFormat/>
    <w:rPr>
      <w:color w:val="404040"/>
    </w:rPr>
    <w:tblPr>
      <w:tblCellMar>
        <w:left w:w="0" w:type="dxa"/>
        <w:top w:w="0" w:type="dxa"/>
        <w:right w:w="0" w:type="dxa"/>
        <w:bottom w:w="0" w:type="dxa"/>
      </w:tblCellMar>
    </w:tblPr>
  </w:style>
  <w:style w:type="table" w:styleId="883" w:customStyle="1">
    <w:name w:val="Lined - Accent 6"/>
    <w:uiPriority w:val="99"/>
    <w:qFormat/>
    <w:rPr>
      <w:color w:val="404040"/>
    </w:rPr>
    <w:tblPr>
      <w:tblCellMar>
        <w:left w:w="0" w:type="dxa"/>
        <w:top w:w="0" w:type="dxa"/>
        <w:right w:w="0" w:type="dxa"/>
        <w:bottom w:w="0" w:type="dxa"/>
      </w:tblCellMar>
    </w:tblPr>
  </w:style>
  <w:style w:type="table" w:styleId="88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8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8" w:customStyle="1">
    <w:name w:val="脚注文本 Char"/>
    <w:link w:val="722"/>
    <w:uiPriority w:val="99"/>
    <w:qFormat/>
    <w:rPr>
      <w:sz w:val="18"/>
    </w:rPr>
  </w:style>
  <w:style w:type="character" w:styleId="899" w:customStyle="1">
    <w:name w:val="尾注文本 Char"/>
    <w:link w:val="714"/>
    <w:uiPriority w:val="99"/>
    <w:qFormat/>
    <w:rPr>
      <w:sz w:val="20"/>
    </w:rPr>
  </w:style>
  <w:style w:type="paragraph" w:styleId="900" w:customStyle="1">
    <w:name w:val="TOC Heading"/>
    <w:uiPriority w:val="39"/>
    <w:unhideWhenUsed/>
    <w:qFormat/>
    <w:rPr>
      <w:rFonts w:hint="default" w:ascii="Times New Roman" w:hAnsi="Times New Roman" w:eastAsia="宋体" w:cs="Times New Roman"/>
    </w:rPr>
  </w:style>
  <w:style w:type="character" w:styleId="901" w:customStyle="1">
    <w:name w:val="标题 3 Char"/>
    <w:link w:val="694"/>
    <w:uiPriority w:val="9"/>
    <w:qFormat/>
    <w:rPr>
      <w:b/>
      <w:bCs/>
      <w:sz w:val="32"/>
      <w:szCs w:val="32"/>
    </w:rPr>
  </w:style>
  <w:style w:type="character" w:styleId="902" w:customStyle="1">
    <w:name w:val="文档结构图 Char"/>
    <w:link w:val="705"/>
    <w:uiPriority w:val="99"/>
    <w:semiHidden/>
    <w:qFormat/>
    <w:rPr>
      <w:rFonts w:ascii="宋体" w:eastAsia="宋体"/>
      <w:sz w:val="18"/>
      <w:szCs w:val="18"/>
    </w:rPr>
  </w:style>
  <w:style w:type="character" w:styleId="903" w:customStyle="1">
    <w:name w:val="批注文字 Char"/>
    <w:link w:val="706"/>
    <w:uiPriority w:val="0"/>
    <w:qFormat/>
    <w:rPr>
      <w:rFonts w:ascii="Times New Roman" w:hAnsi="Times New Roman" w:eastAsia="宋体" w:cs="Times New Roman"/>
      <w:szCs w:val="24"/>
    </w:rPr>
  </w:style>
  <w:style w:type="character" w:styleId="904" w:customStyle="1">
    <w:name w:val="正文文本 Char"/>
    <w:link w:val="707"/>
    <w:uiPriority w:val="0"/>
    <w:qFormat/>
    <w:rPr>
      <w:rFonts w:ascii="Calibri" w:hAnsi="Calibri" w:eastAsia="宋体" w:cs="Times New Roman"/>
    </w:rPr>
  </w:style>
  <w:style w:type="character" w:styleId="905" w:customStyle="1">
    <w:name w:val="正文文本缩进 Char"/>
    <w:link w:val="708"/>
    <w:uiPriority w:val="0"/>
    <w:qFormat/>
    <w:rPr>
      <w:rFonts w:ascii="Times New Roman" w:hAnsi="Times New Roman" w:eastAsia="宋体" w:cs="Times New Roman"/>
      <w:szCs w:val="24"/>
    </w:rPr>
  </w:style>
  <w:style w:type="character" w:styleId="906" w:customStyle="1">
    <w:name w:val="纯文本 Char"/>
    <w:link w:val="711"/>
    <w:uiPriority w:val="0"/>
    <w:qFormat/>
    <w:rPr>
      <w:rFonts w:ascii="宋体" w:hAnsi="Courier New" w:eastAsia="宋体" w:cs="Courier New"/>
      <w:szCs w:val="21"/>
    </w:rPr>
  </w:style>
  <w:style w:type="character" w:styleId="907" w:customStyle="1">
    <w:name w:val="日期 Char"/>
    <w:link w:val="713"/>
    <w:uiPriority w:val="99"/>
    <w:semiHidden/>
    <w:qFormat/>
  </w:style>
  <w:style w:type="character" w:styleId="908" w:customStyle="1">
    <w:name w:val="批注框文本 Char"/>
    <w:link w:val="715"/>
    <w:uiPriority w:val="99"/>
    <w:semiHidden/>
    <w:qFormat/>
    <w:rPr>
      <w:sz w:val="18"/>
      <w:szCs w:val="18"/>
    </w:rPr>
  </w:style>
  <w:style w:type="character" w:styleId="909" w:customStyle="1">
    <w:name w:val="页脚 Char"/>
    <w:link w:val="716"/>
    <w:uiPriority w:val="99"/>
    <w:qFormat/>
    <w:rPr>
      <w:sz w:val="18"/>
      <w:szCs w:val="18"/>
    </w:rPr>
  </w:style>
  <w:style w:type="character" w:styleId="910" w:customStyle="1">
    <w:name w:val="页眉 Char"/>
    <w:link w:val="718"/>
    <w:uiPriority w:val="99"/>
    <w:semiHidden/>
    <w:qFormat/>
    <w:rPr>
      <w:sz w:val="18"/>
      <w:szCs w:val="18"/>
    </w:rPr>
  </w:style>
  <w:style w:type="character" w:styleId="911" w:customStyle="1">
    <w:name w:val="批注主题 Char"/>
    <w:link w:val="729"/>
    <w:uiPriority w:val="99"/>
    <w:semiHidden/>
    <w:qFormat/>
    <w:rPr>
      <w:rFonts w:ascii="Calibri" w:hAnsi="Calibri"/>
      <w:b/>
      <w:bCs/>
      <w:sz w:val="21"/>
      <w:szCs w:val="22"/>
    </w:rPr>
  </w:style>
  <w:style w:type="paragraph" w:styleId="912"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913" w:customStyle="1">
    <w:name w:val="列出段落1"/>
    <w:basedOn w:val="691"/>
    <w:uiPriority w:val="0"/>
    <w:qFormat/>
    <w:pPr>
      <w:ind w:firstLine="420"/>
    </w:pPr>
    <w:rPr>
      <w:rFonts w:ascii="Times New Roman" w:hAnsi="Times New Roman"/>
      <w:szCs w:val="21"/>
    </w:rPr>
  </w:style>
  <w:style w:type="paragraph" w:styleId="914" w:customStyle="1">
    <w:name w:val="Table Text"/>
    <w:basedOn w:val="691"/>
    <w:uiPriority w:val="0"/>
    <w:semiHidden/>
    <w:qFormat/>
    <w:rPr>
      <w:rFonts w:cs="宋体"/>
      <w:sz w:val="24"/>
      <w:szCs w:val="24"/>
      <w:lang w:eastAsia="en-US"/>
    </w:rPr>
  </w:style>
  <w:style w:type="character" w:styleId="915" w:customStyle="1">
    <w:name w:val="标题 1 Char1"/>
    <w:link w:val="692"/>
    <w:uiPriority w:val="9"/>
    <w:qFormat/>
    <w:rPr>
      <w:rFonts w:ascii="Arial" w:hAnsi="Arial" w:eastAsia="Arial" w:cs="Arial"/>
      <w:sz w:val="40"/>
      <w:szCs w:val="40"/>
    </w:rPr>
  </w:style>
  <w:style w:type="character" w:styleId="916" w:customStyle="1">
    <w:name w:val="font31"/>
    <w:basedOn w:val="701"/>
    <w:uiPriority w:val="0"/>
    <w:qFormat/>
    <w:rPr>
      <w:rFonts w:hint="default" w:ascii="Calibri" w:hAnsi="Calibri" w:cs="Calibri"/>
      <w:color w:val="000000"/>
      <w:sz w:val="21"/>
      <w:szCs w:val="21"/>
      <w:u w:val="none"/>
    </w:rPr>
  </w:style>
  <w:style w:type="character" w:styleId="917" w:customStyle="1">
    <w:name w:val="font21"/>
    <w:basedOn w:val="701"/>
    <w:uiPriority w:val="0"/>
    <w:qFormat/>
    <w:rPr>
      <w:rFonts w:hint="eastAsia" w:ascii="宋体" w:hAnsi="宋体" w:eastAsia="宋体" w:cs="宋体"/>
      <w:color w:val="000000"/>
      <w:sz w:val="21"/>
      <w:szCs w:val="21"/>
      <w:u w:val="none"/>
    </w:rPr>
  </w:style>
  <w:style w:type="numbering" w:styleId="9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tmkj</dc:creator>
  <cp:lastModifiedBy>朱蕊</cp:lastModifiedBy>
  <cp:revision>53</cp:revision>
  <dcterms:created xsi:type="dcterms:W3CDTF">2025-04-10T03:33:00Z</dcterms:created>
  <dcterms:modified xsi:type="dcterms:W3CDTF">2025-11-18T04:54:01Z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044C20506ED84646AF0E23FDE666B5EB_13</vt:lpwstr>
  </property>
  <property fmtid="{D5CDD505-2E9C-101B-9397-08002B2CF9AE}" pid="4" name="KSOTemplateDocerSaveRecord">
    <vt:lpwstr>eyJoZGlkIjoiOTYzYmFlMjYyNzUwNWYxNmE3MjZlNzc1NjliMGE3ZTkiLCJ1c2VySWQiOiIyMDI4NzU5In0=</vt:lpwstr>
  </property>
</Properties>
</file>